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SWTID-2026-9303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Blog Post Management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Create and edit blog posts via secure REST endpoints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Fetch all public blogs or user-specific posts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Delete blog entries with token authorization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AI Integration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AI-powered content generation using custom topic prompts</w:t>
            </w:r>
          </w:p>
          <w:p w:rsidR="00000000" w:rsidDel="00000000" w:rsidP="00000000" w:rsidRDefault="00000000" w:rsidRPr="00000000" w14:paraId="0000002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Automated text summarization for lengthy blog articles</w:t>
            </w:r>
          </w:p>
          <w:p w:rsidR="00000000" w:rsidDel="00000000" w:rsidP="00000000" w:rsidRDefault="00000000" w:rsidRPr="00000000" w14:paraId="000000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Secure API key management via environment configuration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The API and application endpoints must be intuitive, clean, and developer-friendly, featuring clear JSON response structures, consistent error messaging, and comprehensive documentation for easy integration.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All sensitive user data must be protected using industry-standard security measures, including bcrypt password hashing, JWT-based bearer token authorization for protected routes, and secure environment variable handling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) for API keys.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 system must ensure consistent data integrity through Mongoose schema validation, structured error handling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try-catch</w:t>
            </w:r>
            <w:r w:rsidDel="00000000" w:rsidR="00000000" w:rsidRPr="00000000">
              <w:rPr>
                <w:rtl w:val="0"/>
              </w:rPr>
              <w:t xml:space="preserve"> blocks), and robust exception management to prevent unexpected server crashes during AI calls.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API response times for core CRUD operations and database queries should remain minimal (under 500ms), while external Google Gemini AI generation requests must be handled efficiently with built-in request timeouts and payload chunking.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The backend services and MongoDB Atlas database connection should target high availability (99.9% uptime) with automatic reconnection handling and graceful shutdown hooks.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architecture must follow a modular Model-View-Controller (MVC) pattern, allowing individual components—such as database schemas, business logic controllers, and AI services—to scale horizontally as user traffic grows.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DHss58W7RSNtK2xvCblO+AOMA==">CgMxLjA4AHIhMWJQSlg1T3kzbGtuWWhVV2RqNVNXT0d3djd1eUhCMEJI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