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SWTID-2026-9303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AI BlogNest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4270375</wp:posOffset>
                </wp:positionH>
                <wp:positionV relativeFrom="paragraph">
                  <wp:posOffset>180976</wp:posOffset>
                </wp:positionV>
                <wp:extent cx="4787900" cy="266065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4270375</wp:posOffset>
                </wp:positionH>
                <wp:positionV relativeFrom="paragraph">
                  <wp:posOffset>180976</wp:posOffset>
                </wp:positionV>
                <wp:extent cx="4787900" cy="2660650"/>
                <wp:effectExtent b="0" l="0" r="0" t="0"/>
                <wp:wrapNone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0" cy="2660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4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How user interacts with application e.g.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Web UI, Mobile App, Chatbot etc.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HTML, CSS, JavaScript / Angular Js / React Js etc.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Java / Python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Watson STT service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Watson Assistant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Type, Configurations etc.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MySQL, NoSQL,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 Service on Cloud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DB2, IBM Cloudant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 requirements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Block Storage or Other Storage Service or Local Filesystem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Weather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Aadhar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Machine Learning Model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Object Recognition Model,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Deployment on Local System / Cloud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 Server Configuration: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Server Configuration : 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Local, Cloud Foundry, Kubernetes, etc.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the open-source frameworks used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of Opensource framework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all the security / access controls implemented, use of firewalls etc.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e.g. SHA-256, Encryptions, IAM Controls, OWASP etc.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scalability of architecture (3 – tier, Micro-services)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availability of application (e.g. use of load balancers, distributed servers etc.)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 consideration for the performance of the application (number of requests per sec, use of Cache, use of CDN’s) etc.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/XgSxpk8Numpkp7MARE1oNtIwg==">CgMxLjA4AHIhMW9QbFlVcHlyX3lERnVLWmhKRGN4NjZmYzJmZlItRDRO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