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435B" w14:textId="77777777" w:rsidR="006C0487" w:rsidRDefault="00052958">
      <w:pPr>
        <w:pStyle w:val="Title"/>
        <w:jc w:val="center"/>
        <w:rPr>
          <w:rFonts w:ascii="Times New Roman" w:eastAsia="Times New Roman" w:hAnsi="Times New Roman" w:cs="Times New Roman"/>
        </w:rPr>
      </w:pPr>
      <w:bookmarkStart w:id="0" w:name="_ppq0v9c55kes" w:colFirst="0" w:colLast="0"/>
      <w:bookmarkEnd w:id="0"/>
      <w:r>
        <w:rPr>
          <w:rFonts w:ascii="Times New Roman" w:eastAsia="Times New Roman" w:hAnsi="Times New Roman" w:cs="Times New Roman"/>
        </w:rPr>
        <w:t>Waiting Time Prediction Challenge</w:t>
      </w:r>
    </w:p>
    <w:p w14:paraId="2A42435C" w14:textId="77777777" w:rsidR="006C0487" w:rsidRDefault="006C0487">
      <w:pPr>
        <w:jc w:val="both"/>
        <w:rPr>
          <w:rFonts w:ascii="Times New Roman" w:eastAsia="Times New Roman" w:hAnsi="Times New Roman" w:cs="Times New Roman"/>
        </w:rPr>
      </w:pPr>
    </w:p>
    <w:p w14:paraId="2A42435D" w14:textId="77777777" w:rsidR="006C0487" w:rsidRDefault="00052958">
      <w:pPr>
        <w:pStyle w:val="Heading2"/>
        <w:jc w:val="both"/>
        <w:rPr>
          <w:rFonts w:ascii="Times New Roman" w:eastAsia="Times New Roman" w:hAnsi="Times New Roman" w:cs="Times New Roman"/>
        </w:rPr>
      </w:pPr>
      <w:bookmarkStart w:id="1" w:name="_jj39wwkvq3d3" w:colFirst="0" w:colLast="0"/>
      <w:bookmarkEnd w:id="1"/>
      <w:r>
        <w:rPr>
          <w:rFonts w:ascii="Times New Roman" w:eastAsia="Times New Roman" w:hAnsi="Times New Roman" w:cs="Times New Roman"/>
        </w:rPr>
        <w:t>Introduction</w:t>
      </w:r>
    </w:p>
    <w:p w14:paraId="2A42435E" w14:textId="77777777" w:rsidR="006C0487" w:rsidRDefault="00052958">
      <w:pPr>
        <w:jc w:val="both"/>
        <w:rPr>
          <w:rFonts w:ascii="Roboto" w:eastAsia="Roboto" w:hAnsi="Roboto" w:cs="Roboto"/>
        </w:rPr>
      </w:pPr>
      <w:r>
        <w:rPr>
          <w:rFonts w:ascii="Times New Roman" w:eastAsia="Times New Roman" w:hAnsi="Times New Roman" w:cs="Times New Roman"/>
        </w:rPr>
        <w:t>Efficiently predicting service request waiting times is essential for improving operations and customer satisfaction. This challenge involves using historical time-stamped transaction data to build a machine-learning model that predicts waiting times. Additionally, Explainable AI (XAI) techniques have been applied to ensure transparency and provide insights into the model’s decision-making process, fostering trust and an actionable understanding of the predictions.</w:t>
      </w:r>
    </w:p>
    <w:p w14:paraId="2A42435F" w14:textId="77777777" w:rsidR="006C0487" w:rsidRDefault="00052958">
      <w:pPr>
        <w:pStyle w:val="Heading2"/>
        <w:jc w:val="both"/>
        <w:rPr>
          <w:rFonts w:ascii="Times New Roman" w:eastAsia="Times New Roman" w:hAnsi="Times New Roman" w:cs="Times New Roman"/>
        </w:rPr>
      </w:pPr>
      <w:bookmarkStart w:id="2" w:name="_y3z36fa4m5" w:colFirst="0" w:colLast="0"/>
      <w:bookmarkEnd w:id="2"/>
      <w:r>
        <w:rPr>
          <w:rFonts w:ascii="Times New Roman" w:eastAsia="Times New Roman" w:hAnsi="Times New Roman" w:cs="Times New Roman"/>
        </w:rPr>
        <w:t>Data Processing</w:t>
      </w:r>
    </w:p>
    <w:p w14:paraId="2A424360"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Removing garbage values (“\N”).</w:t>
      </w:r>
    </w:p>
    <w:p w14:paraId="2A424361"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b/>
        </w:rPr>
        <w:t xml:space="preserve">Waiting time </w:t>
      </w:r>
      <w:r>
        <w:rPr>
          <w:rFonts w:ascii="Times New Roman" w:eastAsia="Times New Roman" w:hAnsi="Times New Roman" w:cs="Times New Roman"/>
        </w:rPr>
        <w:t>calculation in seconds by subtracting start time (SDST) from arrival time (TKIS_TIME).</w:t>
      </w:r>
    </w:p>
    <w:p w14:paraId="2A424362"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Perform Label Encoding on </w:t>
      </w:r>
      <w:r>
        <w:rPr>
          <w:rFonts w:ascii="Times New Roman" w:eastAsia="Times New Roman" w:hAnsi="Times New Roman" w:cs="Times New Roman"/>
          <w:b/>
        </w:rPr>
        <w:t>Service Names.</w:t>
      </w:r>
    </w:p>
    <w:p w14:paraId="2A424363"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Extract Features: </w:t>
      </w:r>
      <w:r>
        <w:rPr>
          <w:rFonts w:ascii="Times New Roman" w:eastAsia="Times New Roman" w:hAnsi="Times New Roman" w:cs="Times New Roman"/>
          <w:b/>
        </w:rPr>
        <w:t xml:space="preserve">arrival day, month, </w:t>
      </w:r>
      <w:r>
        <w:rPr>
          <w:rFonts w:ascii="Times New Roman" w:eastAsia="Times New Roman" w:hAnsi="Times New Roman" w:cs="Times New Roman"/>
        </w:rPr>
        <w:t xml:space="preserve">and </w:t>
      </w:r>
      <w:r>
        <w:rPr>
          <w:rFonts w:ascii="Times New Roman" w:eastAsia="Times New Roman" w:hAnsi="Times New Roman" w:cs="Times New Roman"/>
          <w:b/>
        </w:rPr>
        <w:t>year</w:t>
      </w:r>
      <w:r>
        <w:rPr>
          <w:rFonts w:ascii="Times New Roman" w:eastAsia="Times New Roman" w:hAnsi="Times New Roman" w:cs="Times New Roman"/>
        </w:rPr>
        <w:t xml:space="preserve"> from arrival time (TKIS_TIME).</w:t>
      </w:r>
    </w:p>
    <w:p w14:paraId="2A424364"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 xml:space="preserve">Perform conversion </w:t>
      </w:r>
      <w:r>
        <w:rPr>
          <w:rFonts w:ascii="Times New Roman" w:eastAsia="Times New Roman" w:hAnsi="Times New Roman" w:cs="Times New Roman"/>
          <w:b/>
        </w:rPr>
        <w:t>arrival time</w:t>
      </w:r>
      <w:r>
        <w:rPr>
          <w:rFonts w:ascii="Times New Roman" w:eastAsia="Times New Roman" w:hAnsi="Times New Roman" w:cs="Times New Roman"/>
        </w:rPr>
        <w:t xml:space="preserve"> (TKIS_TIME) into seconds.</w:t>
      </w:r>
    </w:p>
    <w:p w14:paraId="2A424365" w14:textId="77777777" w:rsidR="006C0487" w:rsidRDefault="00052958">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Perform normalization on features.</w:t>
      </w:r>
    </w:p>
    <w:p w14:paraId="2A424366" w14:textId="77777777" w:rsidR="006C0487" w:rsidRDefault="006C0487">
      <w:pPr>
        <w:jc w:val="both"/>
        <w:rPr>
          <w:rFonts w:ascii="Times New Roman" w:eastAsia="Times New Roman" w:hAnsi="Times New Roman" w:cs="Times New Roman"/>
        </w:rPr>
      </w:pPr>
    </w:p>
    <w:p w14:paraId="2A424367"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rPr>
        <w:t xml:space="preserve">Five features were used to predict </w:t>
      </w:r>
      <w:r>
        <w:rPr>
          <w:rFonts w:ascii="Times New Roman" w:eastAsia="Times New Roman" w:hAnsi="Times New Roman" w:cs="Times New Roman"/>
          <w:b/>
        </w:rPr>
        <w:t>waiting time</w:t>
      </w:r>
      <w:r>
        <w:rPr>
          <w:rFonts w:ascii="Times New Roman" w:eastAsia="Times New Roman" w:hAnsi="Times New Roman" w:cs="Times New Roman"/>
        </w:rPr>
        <w:t>:</w:t>
      </w:r>
    </w:p>
    <w:p w14:paraId="2A424368"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Time (seconds)</w:t>
      </w:r>
    </w:p>
    <w:p w14:paraId="2A424369"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Day (day in number)</w:t>
      </w:r>
    </w:p>
    <w:p w14:paraId="2A42436A"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Month (month in number)</w:t>
      </w:r>
    </w:p>
    <w:p w14:paraId="2A42436B"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Arrival Year</w:t>
      </w:r>
    </w:p>
    <w:p w14:paraId="2A42436C" w14:textId="77777777" w:rsidR="006C0487" w:rsidRDefault="00052958">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Encoded Service Name</w:t>
      </w:r>
    </w:p>
    <w:p w14:paraId="2A42436D" w14:textId="77777777" w:rsidR="006C0487" w:rsidRDefault="00052958">
      <w:pPr>
        <w:pStyle w:val="Heading2"/>
        <w:jc w:val="both"/>
      </w:pPr>
      <w:bookmarkStart w:id="3" w:name="_yisy38iq665y" w:colFirst="0" w:colLast="0"/>
      <w:bookmarkEnd w:id="3"/>
      <w:r>
        <w:rPr>
          <w:rFonts w:ascii="Times New Roman" w:eastAsia="Times New Roman" w:hAnsi="Times New Roman" w:cs="Times New Roman"/>
        </w:rPr>
        <w:lastRenderedPageBreak/>
        <w:t>Data Visualization</w:t>
      </w:r>
    </w:p>
    <w:p w14:paraId="2A42436E" w14:textId="77777777" w:rsidR="006C0487" w:rsidRDefault="00052958">
      <w:pPr>
        <w:jc w:val="both"/>
      </w:pPr>
      <w:r>
        <w:rPr>
          <w:noProof/>
        </w:rPr>
        <w:drawing>
          <wp:inline distT="114300" distB="114300" distL="114300" distR="114300" wp14:anchorId="2A4243DC" wp14:editId="2A4243DD">
            <wp:extent cx="5943600" cy="2959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3600" cy="2959100"/>
                    </a:xfrm>
                    <a:prstGeom prst="rect">
                      <a:avLst/>
                    </a:prstGeom>
                    <a:ln/>
                  </pic:spPr>
                </pic:pic>
              </a:graphicData>
            </a:graphic>
          </wp:inline>
        </w:drawing>
      </w:r>
    </w:p>
    <w:p w14:paraId="2A42436F" w14:textId="5042AB62"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1</w:t>
      </w:r>
      <w:r>
        <w:rPr>
          <w:rFonts w:ascii="Times New Roman" w:eastAsia="Times New Roman" w:hAnsi="Times New Roman" w:cs="Times New Roman"/>
        </w:rPr>
        <w:t>: Waiting Time vs Service Names.</w:t>
      </w:r>
    </w:p>
    <w:p w14:paraId="2A424370" w14:textId="77777777" w:rsidR="006C0487" w:rsidRDefault="006C0487">
      <w:pPr>
        <w:jc w:val="center"/>
        <w:rPr>
          <w:rFonts w:ascii="Times New Roman" w:eastAsia="Times New Roman" w:hAnsi="Times New Roman" w:cs="Times New Roman"/>
        </w:rPr>
      </w:pPr>
    </w:p>
    <w:p w14:paraId="2A424371"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4243DE" wp14:editId="2A4243DF">
            <wp:extent cx="5943600" cy="3733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733800"/>
                    </a:xfrm>
                    <a:prstGeom prst="rect">
                      <a:avLst/>
                    </a:prstGeom>
                    <a:ln/>
                  </pic:spPr>
                </pic:pic>
              </a:graphicData>
            </a:graphic>
          </wp:inline>
        </w:drawing>
      </w:r>
    </w:p>
    <w:p w14:paraId="2A424372" w14:textId="493B8360"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2</w:t>
      </w:r>
      <w:r>
        <w:rPr>
          <w:rFonts w:ascii="Times New Roman" w:eastAsia="Times New Roman" w:hAnsi="Times New Roman" w:cs="Times New Roman"/>
        </w:rPr>
        <w:t>: Distribution of waiting time.</w:t>
      </w:r>
    </w:p>
    <w:p w14:paraId="2A424373" w14:textId="77777777" w:rsidR="006C0487" w:rsidRDefault="00052958">
      <w:pPr>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4243E0" wp14:editId="2A4243E1">
            <wp:extent cx="5943600" cy="344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441700"/>
                    </a:xfrm>
                    <a:prstGeom prst="rect">
                      <a:avLst/>
                    </a:prstGeom>
                    <a:ln/>
                  </pic:spPr>
                </pic:pic>
              </a:graphicData>
            </a:graphic>
          </wp:inline>
        </w:drawing>
      </w:r>
    </w:p>
    <w:p w14:paraId="2A424374" w14:textId="2CE16B16"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3</w:t>
      </w:r>
      <w:r>
        <w:rPr>
          <w:rFonts w:ascii="Times New Roman" w:eastAsia="Times New Roman" w:hAnsi="Times New Roman" w:cs="Times New Roman"/>
        </w:rPr>
        <w:t>: Boxplot to find outliers.</w:t>
      </w:r>
    </w:p>
    <w:p w14:paraId="2A424375" w14:textId="77777777" w:rsidR="006C0487" w:rsidRDefault="006C0487">
      <w:pPr>
        <w:jc w:val="center"/>
        <w:rPr>
          <w:rFonts w:ascii="Times New Roman" w:eastAsia="Times New Roman" w:hAnsi="Times New Roman" w:cs="Times New Roman"/>
        </w:rPr>
      </w:pPr>
    </w:p>
    <w:p w14:paraId="2A424376" w14:textId="77777777" w:rsidR="006C0487" w:rsidRDefault="00052958">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A4243E2" wp14:editId="2A4243E3">
            <wp:extent cx="5943600" cy="2527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2A424377" w14:textId="510EAD5F"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4</w:t>
      </w:r>
      <w:r>
        <w:rPr>
          <w:rFonts w:ascii="Times New Roman" w:eastAsia="Times New Roman" w:hAnsi="Times New Roman" w:cs="Times New Roman"/>
        </w:rPr>
        <w:t>: Normalization of waiting time.</w:t>
      </w:r>
    </w:p>
    <w:p w14:paraId="2A424378" w14:textId="77777777" w:rsidR="006C0487" w:rsidRDefault="00052958">
      <w:pPr>
        <w:pStyle w:val="Heading2"/>
        <w:rPr>
          <w:rFonts w:ascii="Times New Roman" w:eastAsia="Times New Roman" w:hAnsi="Times New Roman" w:cs="Times New Roman"/>
        </w:rPr>
      </w:pPr>
      <w:bookmarkStart w:id="4" w:name="_9c295rn011h1" w:colFirst="0" w:colLast="0"/>
      <w:bookmarkEnd w:id="4"/>
      <w:r>
        <w:rPr>
          <w:rFonts w:ascii="Times New Roman" w:eastAsia="Times New Roman" w:hAnsi="Times New Roman" w:cs="Times New Roman"/>
        </w:rPr>
        <w:t>Methodology</w:t>
      </w:r>
    </w:p>
    <w:p w14:paraId="2A424379"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cleaning the data and extracting relevant features, feature normalization was applied. Various regression models were then trained on the normalized dataset to predict waiting times. These models were assessed using evaluation metrics such as R-squared. After comparing their performance, the best-performing model was selected, and Explainable AI (XAI) techniques were integrated into it to enhance interpretability.</w:t>
      </w:r>
    </w:p>
    <w:p w14:paraId="2A42437A" w14:textId="77777777" w:rsidR="006C0487" w:rsidRDefault="0005295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A4243E4" wp14:editId="2A4243E5">
            <wp:extent cx="5943600" cy="66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660400"/>
                    </a:xfrm>
                    <a:prstGeom prst="rect">
                      <a:avLst/>
                    </a:prstGeom>
                    <a:ln/>
                  </pic:spPr>
                </pic:pic>
              </a:graphicData>
            </a:graphic>
          </wp:inline>
        </w:drawing>
      </w:r>
    </w:p>
    <w:p w14:paraId="2A42437B" w14:textId="09681F5C" w:rsidR="006C0487" w:rsidRDefault="00052958">
      <w:pPr>
        <w:jc w:val="center"/>
        <w:rPr>
          <w:rFonts w:ascii="Times New Roman" w:eastAsia="Times New Roman" w:hAnsi="Times New Roman" w:cs="Times New Roman"/>
        </w:rPr>
      </w:pPr>
      <w:r>
        <w:rPr>
          <w:rFonts w:ascii="Times New Roman" w:eastAsia="Times New Roman" w:hAnsi="Times New Roman" w:cs="Times New Roman"/>
        </w:rPr>
        <w:t>Figure</w:t>
      </w:r>
      <w:r w:rsidR="00862383">
        <w:rPr>
          <w:rFonts w:ascii="Times New Roman" w:eastAsia="Times New Roman" w:hAnsi="Times New Roman" w:cs="Times New Roman"/>
        </w:rPr>
        <w:t xml:space="preserve"> 5</w:t>
      </w:r>
      <w:r>
        <w:rPr>
          <w:rFonts w:ascii="Times New Roman" w:eastAsia="Times New Roman" w:hAnsi="Times New Roman" w:cs="Times New Roman"/>
        </w:rPr>
        <w:t>: Workflow diagram of the task.</w:t>
      </w:r>
    </w:p>
    <w:p w14:paraId="2A42437C" w14:textId="77777777" w:rsidR="006C0487" w:rsidRDefault="00052958">
      <w:pPr>
        <w:pStyle w:val="Heading3"/>
        <w:rPr>
          <w:rFonts w:ascii="Times New Roman" w:eastAsia="Times New Roman" w:hAnsi="Times New Roman" w:cs="Times New Roman"/>
        </w:rPr>
      </w:pPr>
      <w:bookmarkStart w:id="5" w:name="_byobv22cl977" w:colFirst="0" w:colLast="0"/>
      <w:bookmarkEnd w:id="5"/>
      <w:r>
        <w:rPr>
          <w:rFonts w:ascii="Times New Roman" w:eastAsia="Times New Roman" w:hAnsi="Times New Roman" w:cs="Times New Roman"/>
        </w:rPr>
        <w:t>Evaluated Regression Models</w:t>
      </w:r>
    </w:p>
    <w:p w14:paraId="2A42437D"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Linear Regression</w:t>
      </w:r>
    </w:p>
    <w:p w14:paraId="2A42437E"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Decision Tree Regression</w:t>
      </w:r>
    </w:p>
    <w:p w14:paraId="2A42437F"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 xml:space="preserve">Random Forest Regression </w:t>
      </w:r>
    </w:p>
    <w:p w14:paraId="2A424380" w14:textId="77777777" w:rsidR="006C0487" w:rsidRDefault="00052958">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XGBoost Regression</w:t>
      </w:r>
    </w:p>
    <w:p w14:paraId="2A424381" w14:textId="77777777" w:rsidR="006C0487" w:rsidRDefault="00052958">
      <w:pPr>
        <w:pStyle w:val="Heading3"/>
        <w:jc w:val="both"/>
        <w:rPr>
          <w:rFonts w:ascii="Times New Roman" w:eastAsia="Times New Roman" w:hAnsi="Times New Roman" w:cs="Times New Roman"/>
        </w:rPr>
      </w:pPr>
      <w:bookmarkStart w:id="6" w:name="_lqqhnoqsjqak" w:colFirst="0" w:colLast="0"/>
      <w:bookmarkEnd w:id="6"/>
      <w:r>
        <w:rPr>
          <w:rFonts w:ascii="Times New Roman" w:eastAsia="Times New Roman" w:hAnsi="Times New Roman" w:cs="Times New Roman"/>
        </w:rPr>
        <w:t>Evaluation Metrics</w:t>
      </w:r>
    </w:p>
    <w:p w14:paraId="2A424382"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R Squared</w:t>
      </w:r>
    </w:p>
    <w:p w14:paraId="2A424383"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Mean Absolute Error (MAE)</w:t>
      </w:r>
    </w:p>
    <w:p w14:paraId="2A424384"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Mean Squared Error (MSE)</w:t>
      </w:r>
    </w:p>
    <w:p w14:paraId="2A424385" w14:textId="77777777" w:rsidR="006C0487" w:rsidRDefault="0005295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Root Mean Squared Error (RMSE)</w:t>
      </w:r>
    </w:p>
    <w:p w14:paraId="2A424386" w14:textId="77777777" w:rsidR="006C0487" w:rsidRDefault="00052958">
      <w:pPr>
        <w:pStyle w:val="Heading3"/>
        <w:jc w:val="both"/>
        <w:rPr>
          <w:rFonts w:ascii="Times New Roman" w:eastAsia="Times New Roman" w:hAnsi="Times New Roman" w:cs="Times New Roman"/>
        </w:rPr>
      </w:pPr>
      <w:bookmarkStart w:id="7" w:name="_7ur0to484lgd" w:colFirst="0" w:colLast="0"/>
      <w:bookmarkEnd w:id="7"/>
      <w:r>
        <w:rPr>
          <w:rFonts w:ascii="Times New Roman" w:eastAsia="Times New Roman" w:hAnsi="Times New Roman" w:cs="Times New Roman"/>
        </w:rPr>
        <w:t>Explainable AI</w:t>
      </w:r>
    </w:p>
    <w:p w14:paraId="2A424387" w14:textId="77777777" w:rsidR="006C0487" w:rsidRDefault="0005295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LIME (Local Interpretable Model-agnostic Explanations)</w:t>
      </w:r>
    </w:p>
    <w:p w14:paraId="2A424388" w14:textId="77777777" w:rsidR="006C0487" w:rsidRDefault="00052958">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SHAP (Shapley Additive explanations)</w:t>
      </w:r>
    </w:p>
    <w:p w14:paraId="2A424389" w14:textId="77777777" w:rsidR="006C0487" w:rsidRDefault="00052958">
      <w:pPr>
        <w:pStyle w:val="Heading2"/>
        <w:jc w:val="both"/>
        <w:rPr>
          <w:rFonts w:ascii="Times New Roman" w:eastAsia="Times New Roman" w:hAnsi="Times New Roman" w:cs="Times New Roman"/>
        </w:rPr>
      </w:pPr>
      <w:bookmarkStart w:id="8" w:name="_v82x6qcs5287" w:colFirst="0" w:colLast="0"/>
      <w:bookmarkEnd w:id="8"/>
      <w:r>
        <w:rPr>
          <w:rFonts w:ascii="Times New Roman" w:eastAsia="Times New Roman" w:hAnsi="Times New Roman" w:cs="Times New Roman"/>
        </w:rPr>
        <w:t>Key Challenges</w:t>
      </w:r>
    </w:p>
    <w:p w14:paraId="2A42438A"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spacing w:before="120"/>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a significant number of outliers.</w:t>
      </w:r>
    </w:p>
    <w:p w14:paraId="2A42438B"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high variability in the data.</w:t>
      </w:r>
    </w:p>
    <w:p w14:paraId="2A42438C"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 limited availability of features.</w:t>
      </w:r>
    </w:p>
    <w:p w14:paraId="2A42438D"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model performance through hyperparameter tuning.</w:t>
      </w:r>
    </w:p>
    <w:p w14:paraId="2A42438E" w14:textId="77777777" w:rsidR="006C0487" w:rsidRDefault="00052958">
      <w:pPr>
        <w:numPr>
          <w:ilvl w:val="0"/>
          <w:numId w:val="5"/>
        </w:numPr>
        <w:pBdr>
          <w:top w:val="none" w:sz="0" w:space="0" w:color="E5E7EB"/>
          <w:left w:val="none" w:sz="0" w:space="0" w:color="E5E7EB"/>
          <w:bottom w:val="none" w:sz="0" w:space="0" w:color="E5E7EB"/>
          <w:right w:val="none" w:sz="0" w:space="0" w:color="E5E7EB"/>
          <w:between w:val="none" w:sz="0" w:space="0" w:color="E5E7EB"/>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Selecting the most suitable model for the task.</w:t>
      </w:r>
    </w:p>
    <w:p w14:paraId="0DCA2B1C" w14:textId="77777777" w:rsidR="00052958" w:rsidRDefault="00052958" w:rsidP="00052958">
      <w:pPr>
        <w:pBdr>
          <w:top w:val="none" w:sz="0" w:space="0" w:color="E5E7EB"/>
          <w:left w:val="none" w:sz="0" w:space="0" w:color="E5E7EB"/>
          <w:bottom w:val="none" w:sz="0" w:space="0" w:color="E5E7EB"/>
          <w:right w:val="none" w:sz="0" w:space="0" w:color="E5E7EB"/>
          <w:between w:val="none" w:sz="0" w:space="0" w:color="E5E7EB"/>
        </w:pBdr>
        <w:spacing w:after="120"/>
        <w:rPr>
          <w:rFonts w:ascii="Times New Roman" w:eastAsia="Times New Roman" w:hAnsi="Times New Roman" w:cs="Times New Roman"/>
          <w:sz w:val="24"/>
          <w:szCs w:val="24"/>
        </w:rPr>
      </w:pPr>
    </w:p>
    <w:p w14:paraId="2A42438F" w14:textId="77777777" w:rsidR="006C0487" w:rsidRDefault="00052958">
      <w:pPr>
        <w:pStyle w:val="Heading2"/>
        <w:pBdr>
          <w:top w:val="none" w:sz="0" w:space="0" w:color="E5E7EB"/>
          <w:left w:val="none" w:sz="0" w:space="0" w:color="E5E7EB"/>
          <w:bottom w:val="none" w:sz="0" w:space="0" w:color="E5E7EB"/>
          <w:right w:val="none" w:sz="0" w:space="0" w:color="E5E7EB"/>
          <w:between w:val="none" w:sz="0" w:space="0" w:color="E5E7EB"/>
        </w:pBdr>
        <w:spacing w:before="120"/>
        <w:jc w:val="both"/>
        <w:rPr>
          <w:rFonts w:ascii="Times New Roman" w:eastAsia="Times New Roman" w:hAnsi="Times New Roman" w:cs="Times New Roman"/>
        </w:rPr>
      </w:pPr>
      <w:bookmarkStart w:id="9" w:name="_qm9diwbspps" w:colFirst="0" w:colLast="0"/>
      <w:bookmarkEnd w:id="9"/>
      <w:r>
        <w:rPr>
          <w:rFonts w:ascii="Times New Roman" w:eastAsia="Times New Roman" w:hAnsi="Times New Roman" w:cs="Times New Roman"/>
        </w:rPr>
        <w:t>Results</w:t>
      </w:r>
    </w:p>
    <w:p w14:paraId="2A424390"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were trained, tested, and evaluated with and without normalization, yielding identical results in both scenarios. Then, hyperparameter tuning was conducted to improve performance.</w:t>
      </w:r>
    </w:p>
    <w:p w14:paraId="43559DB0" w14:textId="77777777" w:rsidR="00862383" w:rsidRDefault="00862383">
      <w:pPr>
        <w:jc w:val="both"/>
        <w:rPr>
          <w:rFonts w:ascii="Times New Roman" w:eastAsia="Times New Roman" w:hAnsi="Times New Roman" w:cs="Times New Roman"/>
          <w:sz w:val="24"/>
          <w:szCs w:val="24"/>
        </w:rPr>
      </w:pPr>
    </w:p>
    <w:p w14:paraId="7E163F96" w14:textId="77777777" w:rsidR="00862383" w:rsidRDefault="00862383">
      <w:pPr>
        <w:jc w:val="both"/>
        <w:rPr>
          <w:rFonts w:ascii="Times New Roman" w:eastAsia="Times New Roman" w:hAnsi="Times New Roman" w:cs="Times New Roman"/>
          <w:sz w:val="24"/>
          <w:szCs w:val="24"/>
        </w:rPr>
      </w:pPr>
    </w:p>
    <w:p w14:paraId="27A88CD8" w14:textId="77777777" w:rsidR="00862383" w:rsidRDefault="00862383">
      <w:pPr>
        <w:jc w:val="both"/>
        <w:rPr>
          <w:rFonts w:ascii="Times New Roman" w:eastAsia="Times New Roman" w:hAnsi="Times New Roman" w:cs="Times New Roman"/>
          <w:sz w:val="24"/>
          <w:szCs w:val="24"/>
        </w:rPr>
      </w:pPr>
    </w:p>
    <w:p w14:paraId="35B36174" w14:textId="77777777" w:rsidR="00862383" w:rsidRDefault="00862383">
      <w:pPr>
        <w:jc w:val="both"/>
        <w:rPr>
          <w:rFonts w:ascii="Times New Roman" w:eastAsia="Times New Roman" w:hAnsi="Times New Roman" w:cs="Times New Roman"/>
          <w:sz w:val="24"/>
          <w:szCs w:val="24"/>
        </w:rPr>
      </w:pPr>
    </w:p>
    <w:p w14:paraId="66814817" w14:textId="77777777" w:rsidR="00862383" w:rsidRDefault="00862383">
      <w:pPr>
        <w:jc w:val="both"/>
        <w:rPr>
          <w:rFonts w:ascii="Times New Roman" w:eastAsia="Times New Roman" w:hAnsi="Times New Roman" w:cs="Times New Roman"/>
          <w:sz w:val="24"/>
          <w:szCs w:val="24"/>
        </w:rPr>
      </w:pPr>
    </w:p>
    <w:p w14:paraId="045E2C65" w14:textId="77777777" w:rsidR="00862383" w:rsidRDefault="00862383">
      <w:pPr>
        <w:jc w:val="both"/>
        <w:rPr>
          <w:rFonts w:ascii="Times New Roman" w:eastAsia="Times New Roman" w:hAnsi="Times New Roman" w:cs="Times New Roman"/>
          <w:sz w:val="24"/>
          <w:szCs w:val="24"/>
        </w:rPr>
      </w:pPr>
    </w:p>
    <w:p w14:paraId="5FAB1E6B" w14:textId="77777777" w:rsidR="00862383" w:rsidRDefault="00862383">
      <w:pPr>
        <w:jc w:val="both"/>
        <w:rPr>
          <w:rFonts w:ascii="Times New Roman" w:eastAsia="Times New Roman" w:hAnsi="Times New Roman" w:cs="Times New Roman"/>
          <w:sz w:val="24"/>
          <w:szCs w:val="24"/>
        </w:rPr>
      </w:pPr>
    </w:p>
    <w:p w14:paraId="1658F5C3" w14:textId="77777777" w:rsidR="00862383" w:rsidRDefault="00862383">
      <w:pPr>
        <w:jc w:val="both"/>
        <w:rPr>
          <w:rFonts w:ascii="Times New Roman" w:eastAsia="Times New Roman" w:hAnsi="Times New Roman" w:cs="Times New Roman"/>
          <w:sz w:val="24"/>
          <w:szCs w:val="24"/>
        </w:rPr>
      </w:pPr>
    </w:p>
    <w:p w14:paraId="2A424391" w14:textId="77777777"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Evaluation result without hyperparameter tuning.</w:t>
      </w:r>
    </w:p>
    <w:tbl>
      <w:tblPr>
        <w:tblStyle w:val="a"/>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260"/>
        <w:gridCol w:w="1740"/>
        <w:gridCol w:w="1740"/>
        <w:gridCol w:w="1740"/>
      </w:tblGrid>
      <w:tr w:rsidR="006C0487" w14:paraId="2A424397" w14:textId="77777777" w:rsidTr="00862383">
        <w:trPr>
          <w:trHeight w:val="20"/>
        </w:trPr>
        <w:tc>
          <w:tcPr>
            <w:tcW w:w="2220" w:type="dxa"/>
            <w:shd w:val="clear" w:color="auto" w:fill="auto"/>
            <w:tcMar>
              <w:top w:w="100" w:type="dxa"/>
              <w:left w:w="100" w:type="dxa"/>
              <w:bottom w:w="100" w:type="dxa"/>
              <w:right w:w="100" w:type="dxa"/>
            </w:tcMar>
          </w:tcPr>
          <w:p w14:paraId="2A424392"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Models/Evaluation Metrics</w:t>
            </w:r>
          </w:p>
        </w:tc>
        <w:tc>
          <w:tcPr>
            <w:tcW w:w="1260" w:type="dxa"/>
            <w:shd w:val="clear" w:color="auto" w:fill="auto"/>
            <w:tcMar>
              <w:top w:w="100" w:type="dxa"/>
              <w:left w:w="100" w:type="dxa"/>
              <w:bottom w:w="100" w:type="dxa"/>
              <w:right w:w="100" w:type="dxa"/>
            </w:tcMar>
          </w:tcPr>
          <w:p w14:paraId="2A424393"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MAE</w:t>
            </w:r>
          </w:p>
        </w:tc>
        <w:tc>
          <w:tcPr>
            <w:tcW w:w="1740" w:type="dxa"/>
            <w:shd w:val="clear" w:color="auto" w:fill="auto"/>
            <w:tcMar>
              <w:top w:w="100" w:type="dxa"/>
              <w:left w:w="100" w:type="dxa"/>
              <w:bottom w:w="100" w:type="dxa"/>
              <w:right w:w="100" w:type="dxa"/>
            </w:tcMar>
          </w:tcPr>
          <w:p w14:paraId="2A424394"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MSE</w:t>
            </w:r>
          </w:p>
        </w:tc>
        <w:tc>
          <w:tcPr>
            <w:tcW w:w="1740" w:type="dxa"/>
            <w:shd w:val="clear" w:color="auto" w:fill="auto"/>
            <w:tcMar>
              <w:top w:w="100" w:type="dxa"/>
              <w:left w:w="100" w:type="dxa"/>
              <w:bottom w:w="100" w:type="dxa"/>
              <w:right w:w="100" w:type="dxa"/>
            </w:tcMar>
          </w:tcPr>
          <w:p w14:paraId="2A424395"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RMSE</w:t>
            </w:r>
          </w:p>
        </w:tc>
        <w:tc>
          <w:tcPr>
            <w:tcW w:w="1740" w:type="dxa"/>
            <w:shd w:val="clear" w:color="auto" w:fill="auto"/>
            <w:tcMar>
              <w:top w:w="100" w:type="dxa"/>
              <w:left w:w="100" w:type="dxa"/>
              <w:bottom w:w="100" w:type="dxa"/>
              <w:right w:w="100" w:type="dxa"/>
            </w:tcMar>
          </w:tcPr>
          <w:p w14:paraId="2A424396"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 Squared</w:t>
            </w:r>
          </w:p>
        </w:tc>
      </w:tr>
      <w:tr w:rsidR="006C0487" w14:paraId="2A42439D" w14:textId="77777777" w:rsidTr="00862383">
        <w:trPr>
          <w:trHeight w:val="20"/>
        </w:trPr>
        <w:tc>
          <w:tcPr>
            <w:tcW w:w="2220" w:type="dxa"/>
            <w:shd w:val="clear" w:color="auto" w:fill="auto"/>
            <w:tcMar>
              <w:top w:w="100" w:type="dxa"/>
              <w:left w:w="100" w:type="dxa"/>
              <w:bottom w:w="100" w:type="dxa"/>
              <w:right w:w="100" w:type="dxa"/>
            </w:tcMar>
          </w:tcPr>
          <w:p w14:paraId="2A424398"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LR</w:t>
            </w:r>
          </w:p>
        </w:tc>
        <w:tc>
          <w:tcPr>
            <w:tcW w:w="1260" w:type="dxa"/>
            <w:shd w:val="clear" w:color="auto" w:fill="auto"/>
            <w:tcMar>
              <w:top w:w="100" w:type="dxa"/>
              <w:left w:w="100" w:type="dxa"/>
              <w:bottom w:w="100" w:type="dxa"/>
              <w:right w:w="100" w:type="dxa"/>
            </w:tcMar>
          </w:tcPr>
          <w:p w14:paraId="2A424399"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1074..27</w:t>
            </w:r>
          </w:p>
        </w:tc>
        <w:tc>
          <w:tcPr>
            <w:tcW w:w="1740" w:type="dxa"/>
            <w:shd w:val="clear" w:color="auto" w:fill="auto"/>
            <w:tcMar>
              <w:top w:w="100" w:type="dxa"/>
              <w:left w:w="100" w:type="dxa"/>
              <w:bottom w:w="100" w:type="dxa"/>
              <w:right w:w="100" w:type="dxa"/>
            </w:tcMar>
          </w:tcPr>
          <w:p w14:paraId="2A42439A"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2418000.59</w:t>
            </w:r>
          </w:p>
        </w:tc>
        <w:tc>
          <w:tcPr>
            <w:tcW w:w="1740" w:type="dxa"/>
            <w:shd w:val="clear" w:color="auto" w:fill="auto"/>
            <w:tcMar>
              <w:top w:w="100" w:type="dxa"/>
              <w:left w:w="100" w:type="dxa"/>
              <w:bottom w:w="100" w:type="dxa"/>
              <w:right w:w="100" w:type="dxa"/>
            </w:tcMar>
          </w:tcPr>
          <w:p w14:paraId="2A42439B"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1554.99</w:t>
            </w:r>
          </w:p>
        </w:tc>
        <w:tc>
          <w:tcPr>
            <w:tcW w:w="1740" w:type="dxa"/>
            <w:shd w:val="clear" w:color="auto" w:fill="auto"/>
            <w:tcMar>
              <w:top w:w="100" w:type="dxa"/>
              <w:left w:w="100" w:type="dxa"/>
              <w:bottom w:w="100" w:type="dxa"/>
              <w:right w:w="100" w:type="dxa"/>
            </w:tcMar>
          </w:tcPr>
          <w:p w14:paraId="2A42439C"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w:t>
            </w:r>
          </w:p>
        </w:tc>
      </w:tr>
      <w:tr w:rsidR="006C0487" w14:paraId="2A4243A3" w14:textId="77777777" w:rsidTr="00862383">
        <w:trPr>
          <w:trHeight w:val="20"/>
        </w:trPr>
        <w:tc>
          <w:tcPr>
            <w:tcW w:w="2220" w:type="dxa"/>
            <w:shd w:val="clear" w:color="auto" w:fill="auto"/>
            <w:tcMar>
              <w:top w:w="100" w:type="dxa"/>
              <w:left w:w="100" w:type="dxa"/>
              <w:bottom w:w="100" w:type="dxa"/>
              <w:right w:w="100" w:type="dxa"/>
            </w:tcMar>
          </w:tcPr>
          <w:p w14:paraId="2A42439E"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DTR</w:t>
            </w:r>
          </w:p>
        </w:tc>
        <w:tc>
          <w:tcPr>
            <w:tcW w:w="1260" w:type="dxa"/>
            <w:shd w:val="clear" w:color="auto" w:fill="auto"/>
            <w:tcMar>
              <w:top w:w="100" w:type="dxa"/>
              <w:left w:w="100" w:type="dxa"/>
              <w:bottom w:w="100" w:type="dxa"/>
              <w:right w:w="100" w:type="dxa"/>
            </w:tcMar>
          </w:tcPr>
          <w:p w14:paraId="2A42439F"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229.49</w:t>
            </w:r>
          </w:p>
        </w:tc>
        <w:tc>
          <w:tcPr>
            <w:tcW w:w="1740" w:type="dxa"/>
            <w:shd w:val="clear" w:color="auto" w:fill="auto"/>
            <w:tcMar>
              <w:top w:w="100" w:type="dxa"/>
              <w:left w:w="100" w:type="dxa"/>
              <w:bottom w:w="100" w:type="dxa"/>
              <w:right w:w="100" w:type="dxa"/>
            </w:tcMar>
          </w:tcPr>
          <w:p w14:paraId="2A4243A0"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521303.399</w:t>
            </w:r>
          </w:p>
        </w:tc>
        <w:tc>
          <w:tcPr>
            <w:tcW w:w="1740" w:type="dxa"/>
            <w:shd w:val="clear" w:color="auto" w:fill="auto"/>
            <w:tcMar>
              <w:top w:w="100" w:type="dxa"/>
              <w:left w:w="100" w:type="dxa"/>
              <w:bottom w:w="100" w:type="dxa"/>
              <w:right w:w="100" w:type="dxa"/>
            </w:tcMar>
          </w:tcPr>
          <w:p w14:paraId="2A4243A1"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722.01</w:t>
            </w:r>
          </w:p>
        </w:tc>
        <w:tc>
          <w:tcPr>
            <w:tcW w:w="1740" w:type="dxa"/>
            <w:shd w:val="clear" w:color="auto" w:fill="auto"/>
            <w:tcMar>
              <w:top w:w="100" w:type="dxa"/>
              <w:left w:w="100" w:type="dxa"/>
              <w:bottom w:w="100" w:type="dxa"/>
              <w:right w:w="100" w:type="dxa"/>
            </w:tcMar>
          </w:tcPr>
          <w:p w14:paraId="2A4243A2"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0.79</w:t>
            </w:r>
          </w:p>
        </w:tc>
      </w:tr>
      <w:tr w:rsidR="006C0487" w14:paraId="2A4243A9" w14:textId="77777777" w:rsidTr="00862383">
        <w:trPr>
          <w:trHeight w:val="20"/>
        </w:trPr>
        <w:tc>
          <w:tcPr>
            <w:tcW w:w="2220" w:type="dxa"/>
            <w:shd w:val="clear" w:color="auto" w:fill="auto"/>
            <w:tcMar>
              <w:top w:w="100" w:type="dxa"/>
              <w:left w:w="100" w:type="dxa"/>
              <w:bottom w:w="100" w:type="dxa"/>
              <w:right w:w="100" w:type="dxa"/>
            </w:tcMar>
          </w:tcPr>
          <w:p w14:paraId="2A4243A4"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RFR</w:t>
            </w:r>
          </w:p>
        </w:tc>
        <w:tc>
          <w:tcPr>
            <w:tcW w:w="1260" w:type="dxa"/>
            <w:shd w:val="clear" w:color="auto" w:fill="auto"/>
            <w:tcMar>
              <w:top w:w="100" w:type="dxa"/>
              <w:left w:w="100" w:type="dxa"/>
              <w:bottom w:w="100" w:type="dxa"/>
              <w:right w:w="100" w:type="dxa"/>
            </w:tcMar>
          </w:tcPr>
          <w:p w14:paraId="2A4243A5"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220..98</w:t>
            </w:r>
          </w:p>
        </w:tc>
        <w:tc>
          <w:tcPr>
            <w:tcW w:w="1740" w:type="dxa"/>
            <w:shd w:val="clear" w:color="auto" w:fill="auto"/>
            <w:tcMar>
              <w:top w:w="100" w:type="dxa"/>
              <w:left w:w="100" w:type="dxa"/>
              <w:bottom w:w="100" w:type="dxa"/>
              <w:right w:w="100" w:type="dxa"/>
            </w:tcMar>
          </w:tcPr>
          <w:p w14:paraId="2A4243A6"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344745.21</w:t>
            </w:r>
          </w:p>
        </w:tc>
        <w:tc>
          <w:tcPr>
            <w:tcW w:w="1740" w:type="dxa"/>
            <w:shd w:val="clear" w:color="auto" w:fill="auto"/>
            <w:tcMar>
              <w:top w:w="100" w:type="dxa"/>
              <w:left w:w="100" w:type="dxa"/>
              <w:bottom w:w="100" w:type="dxa"/>
              <w:right w:w="100" w:type="dxa"/>
            </w:tcMar>
          </w:tcPr>
          <w:p w14:paraId="2A4243A7"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587.15</w:t>
            </w:r>
          </w:p>
        </w:tc>
        <w:tc>
          <w:tcPr>
            <w:tcW w:w="1740" w:type="dxa"/>
            <w:shd w:val="clear" w:color="auto" w:fill="auto"/>
            <w:tcMar>
              <w:top w:w="100" w:type="dxa"/>
              <w:left w:w="100" w:type="dxa"/>
              <w:bottom w:w="100" w:type="dxa"/>
              <w:right w:w="100" w:type="dxa"/>
            </w:tcMar>
          </w:tcPr>
          <w:p w14:paraId="2A4243A8"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r>
      <w:tr w:rsidR="006C0487" w14:paraId="2A4243AF" w14:textId="77777777" w:rsidTr="00862383">
        <w:trPr>
          <w:trHeight w:val="20"/>
        </w:trPr>
        <w:tc>
          <w:tcPr>
            <w:tcW w:w="2220" w:type="dxa"/>
            <w:shd w:val="clear" w:color="auto" w:fill="auto"/>
            <w:tcMar>
              <w:top w:w="100" w:type="dxa"/>
              <w:left w:w="100" w:type="dxa"/>
              <w:bottom w:w="100" w:type="dxa"/>
              <w:right w:w="100" w:type="dxa"/>
            </w:tcMar>
          </w:tcPr>
          <w:p w14:paraId="2A4243AA"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XGBoost</w:t>
            </w:r>
          </w:p>
        </w:tc>
        <w:tc>
          <w:tcPr>
            <w:tcW w:w="1260" w:type="dxa"/>
            <w:shd w:val="clear" w:color="auto" w:fill="auto"/>
            <w:tcMar>
              <w:top w:w="100" w:type="dxa"/>
              <w:left w:w="100" w:type="dxa"/>
              <w:bottom w:w="100" w:type="dxa"/>
              <w:right w:w="100" w:type="dxa"/>
            </w:tcMar>
          </w:tcPr>
          <w:p w14:paraId="2A4243AB"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718.77</w:t>
            </w:r>
          </w:p>
        </w:tc>
        <w:tc>
          <w:tcPr>
            <w:tcW w:w="1740" w:type="dxa"/>
            <w:shd w:val="clear" w:color="auto" w:fill="auto"/>
            <w:tcMar>
              <w:top w:w="100" w:type="dxa"/>
              <w:left w:w="100" w:type="dxa"/>
              <w:bottom w:w="100" w:type="dxa"/>
              <w:right w:w="100" w:type="dxa"/>
            </w:tcMar>
          </w:tcPr>
          <w:p w14:paraId="2A4243AC"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1161605.02</w:t>
            </w:r>
          </w:p>
        </w:tc>
        <w:tc>
          <w:tcPr>
            <w:tcW w:w="1740" w:type="dxa"/>
            <w:shd w:val="clear" w:color="auto" w:fill="auto"/>
            <w:tcMar>
              <w:top w:w="100" w:type="dxa"/>
              <w:left w:w="100" w:type="dxa"/>
              <w:bottom w:w="100" w:type="dxa"/>
              <w:right w:w="100" w:type="dxa"/>
            </w:tcMar>
          </w:tcPr>
          <w:p w14:paraId="2A4243AD"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1077.77</w:t>
            </w:r>
          </w:p>
        </w:tc>
        <w:tc>
          <w:tcPr>
            <w:tcW w:w="1740" w:type="dxa"/>
            <w:shd w:val="clear" w:color="auto" w:fill="auto"/>
            <w:tcMar>
              <w:top w:w="100" w:type="dxa"/>
              <w:left w:w="100" w:type="dxa"/>
              <w:bottom w:w="100" w:type="dxa"/>
              <w:right w:w="100" w:type="dxa"/>
            </w:tcMar>
          </w:tcPr>
          <w:p w14:paraId="2A4243AE" w14:textId="77777777" w:rsidR="006C0487" w:rsidRDefault="00052958">
            <w:pPr>
              <w:widowControl w:val="0"/>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0.55</w:t>
            </w:r>
          </w:p>
        </w:tc>
      </w:tr>
    </w:tbl>
    <w:p w14:paraId="2A4243B0" w14:textId="77777777" w:rsidR="006C0487" w:rsidRDefault="006C0487">
      <w:pPr>
        <w:jc w:val="both"/>
        <w:rPr>
          <w:rFonts w:ascii="Times New Roman" w:eastAsia="Times New Roman" w:hAnsi="Times New Roman" w:cs="Times New Roman"/>
          <w:sz w:val="24"/>
          <w:szCs w:val="24"/>
        </w:rPr>
      </w:pPr>
    </w:p>
    <w:p w14:paraId="2A4243B1" w14:textId="77777777"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 Evaluation result with hyperparameter tuning.</w:t>
      </w:r>
    </w:p>
    <w:tbl>
      <w:tblPr>
        <w:tblStyle w:val="a0"/>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260"/>
        <w:gridCol w:w="1740"/>
        <w:gridCol w:w="1740"/>
        <w:gridCol w:w="1740"/>
      </w:tblGrid>
      <w:tr w:rsidR="006C0487" w14:paraId="2A4243B7" w14:textId="77777777" w:rsidTr="00862383">
        <w:trPr>
          <w:trHeight w:val="20"/>
        </w:trPr>
        <w:tc>
          <w:tcPr>
            <w:tcW w:w="2220" w:type="dxa"/>
            <w:shd w:val="clear" w:color="auto" w:fill="auto"/>
            <w:tcMar>
              <w:top w:w="100" w:type="dxa"/>
              <w:left w:w="100" w:type="dxa"/>
              <w:bottom w:w="100" w:type="dxa"/>
              <w:right w:w="100" w:type="dxa"/>
            </w:tcMar>
          </w:tcPr>
          <w:p w14:paraId="2A4243B2"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Models/Evaluation Metrics</w:t>
            </w:r>
          </w:p>
        </w:tc>
        <w:tc>
          <w:tcPr>
            <w:tcW w:w="1260" w:type="dxa"/>
            <w:shd w:val="clear" w:color="auto" w:fill="auto"/>
            <w:tcMar>
              <w:top w:w="100" w:type="dxa"/>
              <w:left w:w="100" w:type="dxa"/>
              <w:bottom w:w="100" w:type="dxa"/>
              <w:right w:w="100" w:type="dxa"/>
            </w:tcMar>
          </w:tcPr>
          <w:p w14:paraId="2A4243B3"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MAE</w:t>
            </w:r>
          </w:p>
        </w:tc>
        <w:tc>
          <w:tcPr>
            <w:tcW w:w="1740" w:type="dxa"/>
            <w:shd w:val="clear" w:color="auto" w:fill="auto"/>
            <w:tcMar>
              <w:top w:w="100" w:type="dxa"/>
              <w:left w:w="100" w:type="dxa"/>
              <w:bottom w:w="100" w:type="dxa"/>
              <w:right w:w="100" w:type="dxa"/>
            </w:tcMar>
          </w:tcPr>
          <w:p w14:paraId="2A4243B4"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MSE</w:t>
            </w:r>
          </w:p>
        </w:tc>
        <w:tc>
          <w:tcPr>
            <w:tcW w:w="1740" w:type="dxa"/>
            <w:shd w:val="clear" w:color="auto" w:fill="auto"/>
            <w:tcMar>
              <w:top w:w="100" w:type="dxa"/>
              <w:left w:w="100" w:type="dxa"/>
              <w:bottom w:w="100" w:type="dxa"/>
              <w:right w:w="100" w:type="dxa"/>
            </w:tcMar>
          </w:tcPr>
          <w:p w14:paraId="2A4243B5"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RMSE</w:t>
            </w:r>
          </w:p>
        </w:tc>
        <w:tc>
          <w:tcPr>
            <w:tcW w:w="1740" w:type="dxa"/>
            <w:shd w:val="clear" w:color="auto" w:fill="auto"/>
            <w:tcMar>
              <w:top w:w="100" w:type="dxa"/>
              <w:left w:w="100" w:type="dxa"/>
              <w:bottom w:w="100" w:type="dxa"/>
              <w:right w:w="100" w:type="dxa"/>
            </w:tcMar>
          </w:tcPr>
          <w:p w14:paraId="2A4243B6"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 Squared</w:t>
            </w:r>
          </w:p>
        </w:tc>
      </w:tr>
      <w:tr w:rsidR="006C0487" w14:paraId="2A4243BD" w14:textId="77777777" w:rsidTr="00862383">
        <w:trPr>
          <w:trHeight w:val="20"/>
        </w:trPr>
        <w:tc>
          <w:tcPr>
            <w:tcW w:w="2220" w:type="dxa"/>
            <w:shd w:val="clear" w:color="auto" w:fill="auto"/>
            <w:tcMar>
              <w:top w:w="100" w:type="dxa"/>
              <w:left w:w="100" w:type="dxa"/>
              <w:bottom w:w="100" w:type="dxa"/>
              <w:right w:w="100" w:type="dxa"/>
            </w:tcMar>
          </w:tcPr>
          <w:p w14:paraId="2A4243B8"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LR</w:t>
            </w:r>
          </w:p>
        </w:tc>
        <w:tc>
          <w:tcPr>
            <w:tcW w:w="1260" w:type="dxa"/>
            <w:shd w:val="clear" w:color="auto" w:fill="auto"/>
            <w:tcMar>
              <w:top w:w="100" w:type="dxa"/>
              <w:left w:w="100" w:type="dxa"/>
              <w:bottom w:w="100" w:type="dxa"/>
              <w:right w:w="100" w:type="dxa"/>
            </w:tcMar>
          </w:tcPr>
          <w:p w14:paraId="2A4243B9"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1074..27</w:t>
            </w:r>
          </w:p>
        </w:tc>
        <w:tc>
          <w:tcPr>
            <w:tcW w:w="1740" w:type="dxa"/>
            <w:shd w:val="clear" w:color="auto" w:fill="auto"/>
            <w:tcMar>
              <w:top w:w="100" w:type="dxa"/>
              <w:left w:w="100" w:type="dxa"/>
              <w:bottom w:w="100" w:type="dxa"/>
              <w:right w:w="100" w:type="dxa"/>
            </w:tcMar>
          </w:tcPr>
          <w:p w14:paraId="2A4243BA"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2421484.67</w:t>
            </w:r>
          </w:p>
        </w:tc>
        <w:tc>
          <w:tcPr>
            <w:tcW w:w="1740" w:type="dxa"/>
            <w:shd w:val="clear" w:color="auto" w:fill="auto"/>
            <w:tcMar>
              <w:top w:w="100" w:type="dxa"/>
              <w:left w:w="100" w:type="dxa"/>
              <w:bottom w:w="100" w:type="dxa"/>
              <w:right w:w="100" w:type="dxa"/>
            </w:tcMar>
          </w:tcPr>
          <w:p w14:paraId="2A4243BB"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1556.11</w:t>
            </w:r>
          </w:p>
        </w:tc>
        <w:tc>
          <w:tcPr>
            <w:tcW w:w="1740" w:type="dxa"/>
            <w:shd w:val="clear" w:color="auto" w:fill="auto"/>
            <w:tcMar>
              <w:top w:w="100" w:type="dxa"/>
              <w:left w:w="100" w:type="dxa"/>
              <w:bottom w:w="100" w:type="dxa"/>
              <w:right w:w="100" w:type="dxa"/>
            </w:tcMar>
          </w:tcPr>
          <w:p w14:paraId="2A4243BC"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w:t>
            </w:r>
          </w:p>
        </w:tc>
      </w:tr>
      <w:tr w:rsidR="006C0487" w14:paraId="2A4243C3" w14:textId="77777777" w:rsidTr="00862383">
        <w:trPr>
          <w:trHeight w:val="20"/>
        </w:trPr>
        <w:tc>
          <w:tcPr>
            <w:tcW w:w="2220" w:type="dxa"/>
            <w:shd w:val="clear" w:color="auto" w:fill="auto"/>
            <w:tcMar>
              <w:top w:w="100" w:type="dxa"/>
              <w:left w:w="100" w:type="dxa"/>
              <w:bottom w:w="100" w:type="dxa"/>
              <w:right w:w="100" w:type="dxa"/>
            </w:tcMar>
          </w:tcPr>
          <w:p w14:paraId="2A4243BE"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DTR</w:t>
            </w:r>
          </w:p>
        </w:tc>
        <w:tc>
          <w:tcPr>
            <w:tcW w:w="1260" w:type="dxa"/>
            <w:shd w:val="clear" w:color="auto" w:fill="auto"/>
            <w:tcMar>
              <w:top w:w="100" w:type="dxa"/>
              <w:left w:w="100" w:type="dxa"/>
              <w:bottom w:w="100" w:type="dxa"/>
              <w:right w:w="100" w:type="dxa"/>
            </w:tcMar>
          </w:tcPr>
          <w:p w14:paraId="2A4243BF"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229.49</w:t>
            </w:r>
          </w:p>
        </w:tc>
        <w:tc>
          <w:tcPr>
            <w:tcW w:w="1740" w:type="dxa"/>
            <w:shd w:val="clear" w:color="auto" w:fill="auto"/>
            <w:tcMar>
              <w:top w:w="100" w:type="dxa"/>
              <w:left w:w="100" w:type="dxa"/>
              <w:bottom w:w="100" w:type="dxa"/>
              <w:right w:w="100" w:type="dxa"/>
            </w:tcMar>
          </w:tcPr>
          <w:p w14:paraId="2A4243C0"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521834.23</w:t>
            </w:r>
          </w:p>
        </w:tc>
        <w:tc>
          <w:tcPr>
            <w:tcW w:w="1740" w:type="dxa"/>
            <w:shd w:val="clear" w:color="auto" w:fill="auto"/>
            <w:tcMar>
              <w:top w:w="100" w:type="dxa"/>
              <w:left w:w="100" w:type="dxa"/>
              <w:bottom w:w="100" w:type="dxa"/>
              <w:right w:w="100" w:type="dxa"/>
            </w:tcMar>
          </w:tcPr>
          <w:p w14:paraId="2A4243C1"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722.38</w:t>
            </w:r>
          </w:p>
        </w:tc>
        <w:tc>
          <w:tcPr>
            <w:tcW w:w="1740" w:type="dxa"/>
            <w:shd w:val="clear" w:color="auto" w:fill="auto"/>
            <w:tcMar>
              <w:top w:w="100" w:type="dxa"/>
              <w:left w:w="100" w:type="dxa"/>
              <w:bottom w:w="100" w:type="dxa"/>
              <w:right w:w="100" w:type="dxa"/>
            </w:tcMar>
          </w:tcPr>
          <w:p w14:paraId="2A4243C2"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0.79</w:t>
            </w:r>
          </w:p>
        </w:tc>
      </w:tr>
      <w:tr w:rsidR="006C0487" w14:paraId="2A4243C9" w14:textId="77777777" w:rsidTr="00862383">
        <w:trPr>
          <w:trHeight w:val="20"/>
        </w:trPr>
        <w:tc>
          <w:tcPr>
            <w:tcW w:w="2220" w:type="dxa"/>
            <w:shd w:val="clear" w:color="auto" w:fill="auto"/>
            <w:tcMar>
              <w:top w:w="100" w:type="dxa"/>
              <w:left w:w="100" w:type="dxa"/>
              <w:bottom w:w="100" w:type="dxa"/>
              <w:right w:w="100" w:type="dxa"/>
            </w:tcMar>
          </w:tcPr>
          <w:p w14:paraId="2A4243C4"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RFR</w:t>
            </w:r>
          </w:p>
        </w:tc>
        <w:tc>
          <w:tcPr>
            <w:tcW w:w="1260" w:type="dxa"/>
            <w:shd w:val="clear" w:color="auto" w:fill="auto"/>
            <w:tcMar>
              <w:top w:w="100" w:type="dxa"/>
              <w:left w:w="100" w:type="dxa"/>
              <w:bottom w:w="100" w:type="dxa"/>
              <w:right w:w="100" w:type="dxa"/>
            </w:tcMar>
          </w:tcPr>
          <w:p w14:paraId="2A4243C5"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227.26</w:t>
            </w:r>
          </w:p>
        </w:tc>
        <w:tc>
          <w:tcPr>
            <w:tcW w:w="1740" w:type="dxa"/>
            <w:shd w:val="clear" w:color="auto" w:fill="auto"/>
            <w:tcMar>
              <w:top w:w="100" w:type="dxa"/>
              <w:left w:w="100" w:type="dxa"/>
              <w:bottom w:w="100" w:type="dxa"/>
              <w:right w:w="100" w:type="dxa"/>
            </w:tcMar>
          </w:tcPr>
          <w:p w14:paraId="2A4243C6"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327097.16</w:t>
            </w:r>
          </w:p>
        </w:tc>
        <w:tc>
          <w:tcPr>
            <w:tcW w:w="1740" w:type="dxa"/>
            <w:shd w:val="clear" w:color="auto" w:fill="auto"/>
            <w:tcMar>
              <w:top w:w="100" w:type="dxa"/>
              <w:left w:w="100" w:type="dxa"/>
              <w:bottom w:w="100" w:type="dxa"/>
              <w:right w:w="100" w:type="dxa"/>
            </w:tcMar>
          </w:tcPr>
          <w:p w14:paraId="2A4243C7"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571.92</w:t>
            </w:r>
          </w:p>
        </w:tc>
        <w:tc>
          <w:tcPr>
            <w:tcW w:w="1740" w:type="dxa"/>
            <w:shd w:val="clear" w:color="auto" w:fill="auto"/>
            <w:tcMar>
              <w:top w:w="100" w:type="dxa"/>
              <w:left w:w="100" w:type="dxa"/>
              <w:bottom w:w="100" w:type="dxa"/>
              <w:right w:w="100" w:type="dxa"/>
            </w:tcMar>
          </w:tcPr>
          <w:p w14:paraId="2A4243C8"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r>
      <w:tr w:rsidR="006C0487" w14:paraId="2A4243CF" w14:textId="77777777" w:rsidTr="00862383">
        <w:trPr>
          <w:trHeight w:val="20"/>
        </w:trPr>
        <w:tc>
          <w:tcPr>
            <w:tcW w:w="2220" w:type="dxa"/>
            <w:shd w:val="clear" w:color="auto" w:fill="auto"/>
            <w:tcMar>
              <w:top w:w="100" w:type="dxa"/>
              <w:left w:w="100" w:type="dxa"/>
              <w:bottom w:w="100" w:type="dxa"/>
              <w:right w:w="100" w:type="dxa"/>
            </w:tcMar>
          </w:tcPr>
          <w:p w14:paraId="2A4243CA"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XGBoost</w:t>
            </w:r>
          </w:p>
        </w:tc>
        <w:tc>
          <w:tcPr>
            <w:tcW w:w="1260" w:type="dxa"/>
            <w:shd w:val="clear" w:color="auto" w:fill="auto"/>
            <w:tcMar>
              <w:top w:w="100" w:type="dxa"/>
              <w:left w:w="100" w:type="dxa"/>
              <w:bottom w:w="100" w:type="dxa"/>
              <w:right w:w="100" w:type="dxa"/>
            </w:tcMar>
          </w:tcPr>
          <w:p w14:paraId="2A4243CB"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229.14</w:t>
            </w:r>
          </w:p>
        </w:tc>
        <w:tc>
          <w:tcPr>
            <w:tcW w:w="1740" w:type="dxa"/>
            <w:shd w:val="clear" w:color="auto" w:fill="auto"/>
            <w:tcMar>
              <w:top w:w="100" w:type="dxa"/>
              <w:left w:w="100" w:type="dxa"/>
              <w:bottom w:w="100" w:type="dxa"/>
              <w:right w:w="100" w:type="dxa"/>
            </w:tcMar>
          </w:tcPr>
          <w:p w14:paraId="2A4243CC"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392439.01</w:t>
            </w:r>
          </w:p>
        </w:tc>
        <w:tc>
          <w:tcPr>
            <w:tcW w:w="1740" w:type="dxa"/>
            <w:shd w:val="clear" w:color="auto" w:fill="auto"/>
            <w:tcMar>
              <w:top w:w="100" w:type="dxa"/>
              <w:left w:w="100" w:type="dxa"/>
              <w:bottom w:w="100" w:type="dxa"/>
              <w:right w:w="100" w:type="dxa"/>
            </w:tcMar>
          </w:tcPr>
          <w:p w14:paraId="2A4243CD"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626.44</w:t>
            </w:r>
          </w:p>
        </w:tc>
        <w:tc>
          <w:tcPr>
            <w:tcW w:w="1740" w:type="dxa"/>
            <w:shd w:val="clear" w:color="auto" w:fill="auto"/>
            <w:tcMar>
              <w:top w:w="100" w:type="dxa"/>
              <w:left w:w="100" w:type="dxa"/>
              <w:bottom w:w="100" w:type="dxa"/>
              <w:right w:w="100" w:type="dxa"/>
            </w:tcMar>
          </w:tcPr>
          <w:p w14:paraId="2A4243CE" w14:textId="77777777" w:rsidR="006C0487" w:rsidRDefault="00052958">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r>
    </w:tbl>
    <w:p w14:paraId="2A4243D0" w14:textId="77777777" w:rsidR="006C0487" w:rsidRDefault="006C0487">
      <w:pPr>
        <w:jc w:val="both"/>
        <w:rPr>
          <w:rFonts w:ascii="Times New Roman" w:eastAsia="Times New Roman" w:hAnsi="Times New Roman" w:cs="Times New Roman"/>
          <w:sz w:val="24"/>
          <w:szCs w:val="24"/>
        </w:rPr>
      </w:pPr>
    </w:p>
    <w:p w14:paraId="2A4243D1"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4243E6" wp14:editId="52FB8024">
            <wp:extent cx="5514975" cy="3905250"/>
            <wp:effectExtent l="0" t="0" r="9525"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14975" cy="3905250"/>
                    </a:xfrm>
                    <a:prstGeom prst="rect">
                      <a:avLst/>
                    </a:prstGeom>
                    <a:ln/>
                  </pic:spPr>
                </pic:pic>
              </a:graphicData>
            </a:graphic>
          </wp:inline>
        </w:drawing>
      </w:r>
    </w:p>
    <w:p w14:paraId="2A4243D2" w14:textId="3685290E" w:rsidR="006C0487" w:rsidRDefault="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862383">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Fitted curves for all models.</w:t>
      </w:r>
    </w:p>
    <w:p w14:paraId="2A4243D3" w14:textId="77777777" w:rsidR="006C0487" w:rsidRDefault="00052958">
      <w:pPr>
        <w:pStyle w:val="Heading2"/>
        <w:rPr>
          <w:rFonts w:ascii="Times New Roman" w:eastAsia="Times New Roman" w:hAnsi="Times New Roman" w:cs="Times New Roman"/>
        </w:rPr>
      </w:pPr>
      <w:bookmarkStart w:id="10" w:name="_yavyuw3vxsgz" w:colFirst="0" w:colLast="0"/>
      <w:bookmarkEnd w:id="10"/>
      <w:r>
        <w:rPr>
          <w:rFonts w:ascii="Times New Roman" w:eastAsia="Times New Roman" w:hAnsi="Times New Roman" w:cs="Times New Roman"/>
        </w:rPr>
        <w:lastRenderedPageBreak/>
        <w:t>Explainable AI</w:t>
      </w:r>
    </w:p>
    <w:p w14:paraId="2A4243D4"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Random Forest Regressor (RFR) was the best model in terms of evaluation. Explainable AI techniques like LIME and SHAP were integrated to enhance interpretability and provide insights into feature importance and prediction behavior.</w:t>
      </w:r>
    </w:p>
    <w:p w14:paraId="2A4243D5" w14:textId="77777777" w:rsidR="006C0487" w:rsidRDefault="006C0487">
      <w:pPr>
        <w:jc w:val="both"/>
        <w:rPr>
          <w:rFonts w:ascii="Times New Roman" w:eastAsia="Times New Roman" w:hAnsi="Times New Roman" w:cs="Times New Roman"/>
          <w:sz w:val="24"/>
          <w:szCs w:val="24"/>
        </w:rPr>
      </w:pPr>
    </w:p>
    <w:p w14:paraId="2A4243D6"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4243E8" wp14:editId="2A4243E9">
            <wp:extent cx="5943600" cy="3505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505200"/>
                    </a:xfrm>
                    <a:prstGeom prst="rect">
                      <a:avLst/>
                    </a:prstGeom>
                    <a:ln/>
                  </pic:spPr>
                </pic:pic>
              </a:graphicData>
            </a:graphic>
          </wp:inline>
        </w:drawing>
      </w:r>
    </w:p>
    <w:p w14:paraId="4D80B5D4" w14:textId="012EAB91" w:rsidR="00052958" w:rsidRDefault="00052958" w:rsidP="000529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 Explainable AI integration.</w:t>
      </w:r>
    </w:p>
    <w:p w14:paraId="06C98581" w14:textId="77777777" w:rsidR="00052958" w:rsidRDefault="00052958" w:rsidP="00052958">
      <w:pPr>
        <w:jc w:val="center"/>
        <w:rPr>
          <w:rFonts w:ascii="Times New Roman" w:eastAsia="Times New Roman" w:hAnsi="Times New Roman" w:cs="Times New Roman"/>
          <w:sz w:val="24"/>
          <w:szCs w:val="24"/>
        </w:rPr>
      </w:pPr>
    </w:p>
    <w:p w14:paraId="2A4243D7" w14:textId="77777777" w:rsidR="006C0487" w:rsidRDefault="00052958">
      <w:pPr>
        <w:pStyle w:val="Heading2"/>
        <w:pBdr>
          <w:top w:val="none" w:sz="0" w:space="0" w:color="E5E7EB"/>
          <w:left w:val="none" w:sz="0" w:space="0" w:color="E5E7EB"/>
          <w:bottom w:val="none" w:sz="0" w:space="0" w:color="E5E7EB"/>
          <w:right w:val="none" w:sz="0" w:space="0" w:color="E5E7EB"/>
          <w:between w:val="none" w:sz="0" w:space="0" w:color="E5E7EB"/>
        </w:pBdr>
        <w:spacing w:before="120"/>
        <w:rPr>
          <w:rFonts w:ascii="Times New Roman" w:eastAsia="Times New Roman" w:hAnsi="Times New Roman" w:cs="Times New Roman"/>
        </w:rPr>
      </w:pPr>
      <w:bookmarkStart w:id="11" w:name="_iejdyoujwrs1" w:colFirst="0" w:colLast="0"/>
      <w:bookmarkEnd w:id="11"/>
      <w:r>
        <w:rPr>
          <w:rFonts w:ascii="Times New Roman" w:eastAsia="Times New Roman" w:hAnsi="Times New Roman" w:cs="Times New Roman"/>
        </w:rPr>
        <w:t>Bonus Contribution</w:t>
      </w:r>
    </w:p>
    <w:p w14:paraId="2A4243D8" w14:textId="77777777" w:rsidR="006C0487" w:rsidRDefault="00052958">
      <w:pPr>
        <w:pStyle w:val="Heading3"/>
        <w:rPr>
          <w:rFonts w:ascii="Times New Roman" w:eastAsia="Times New Roman" w:hAnsi="Times New Roman" w:cs="Times New Roman"/>
        </w:rPr>
      </w:pPr>
      <w:bookmarkStart w:id="12" w:name="_n7w194hub0dh" w:colFirst="0" w:colLast="0"/>
      <w:bookmarkEnd w:id="12"/>
      <w:r>
        <w:rPr>
          <w:rFonts w:ascii="Times New Roman" w:eastAsia="Times New Roman" w:hAnsi="Times New Roman" w:cs="Times New Roman"/>
        </w:rPr>
        <w:t>Real-Time Prediction</w:t>
      </w:r>
    </w:p>
    <w:p w14:paraId="2A4243D9" w14:textId="77777777" w:rsidR="006C0487"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 model is successfully tested for real-time waiting time prediction. The system allows users to select a service name, and the model automatically retrieves the current timestamp (arrival time in seconds, day, month, and year) to generate an instant waiting time prediction. The system ensures fast and accurate results by leveraging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for deployment, Random Forest Regressor for prediction, and label encoding for service names. The optimized pipeline enables efficient handling of real-time user requests while maintaining scalability for larger datasets and higher traffic loads. </w:t>
      </w:r>
    </w:p>
    <w:p w14:paraId="2A4243DA" w14:textId="77777777" w:rsidR="006C0487" w:rsidRDefault="00052958">
      <w:pPr>
        <w:pStyle w:val="Heading3"/>
        <w:jc w:val="both"/>
        <w:rPr>
          <w:rFonts w:ascii="Times New Roman" w:eastAsia="Times New Roman" w:hAnsi="Times New Roman" w:cs="Times New Roman"/>
        </w:rPr>
      </w:pPr>
      <w:bookmarkStart w:id="13" w:name="_vx12a8iy6jyg" w:colFirst="0" w:colLast="0"/>
      <w:bookmarkEnd w:id="13"/>
      <w:r>
        <w:rPr>
          <w:rFonts w:ascii="Times New Roman" w:eastAsia="Times New Roman" w:hAnsi="Times New Roman" w:cs="Times New Roman"/>
        </w:rPr>
        <w:t>Scalability</w:t>
      </w:r>
    </w:p>
    <w:p w14:paraId="005A0605" w14:textId="0CF64087" w:rsidR="00315A06" w:rsidRDefault="0005295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maintain model performance in the ML model, it is essential to update the production model on time; otherwise, it will not perform well. We should create a CI/CD pipeline for the production </w:t>
      </w:r>
      <w:r>
        <w:rPr>
          <w:rFonts w:ascii="Times New Roman" w:eastAsia="Times New Roman" w:hAnsi="Times New Roman" w:cs="Times New Roman"/>
          <w:sz w:val="24"/>
          <w:szCs w:val="24"/>
        </w:rPr>
        <w:lastRenderedPageBreak/>
        <w:t xml:space="preserve">model to update the model in time. The model must handle large datasets efficiently and support high user traffic to ensure real-time waiting time prediction scalability. Using parallel processing with Spark improves training on large datasets, while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with Unicorn enables asynchronous API calls for fast predictions. Model caching with Redis reduces redundant computations, and deploying the model on cloud platforms like AWS or GCP ensures auto-scaling based on demand. For faster inference, converting the model to ONNX reduces latency. Continuous learning is managed through automated retraining with Airflow and drift monitoring using AI. Scaling solutions like Kubernetes and </w:t>
      </w:r>
      <w:proofErr w:type="spellStart"/>
      <w:r>
        <w:rPr>
          <w:rFonts w:ascii="Times New Roman" w:eastAsia="Times New Roman" w:hAnsi="Times New Roman" w:cs="Times New Roman"/>
          <w:sz w:val="24"/>
          <w:szCs w:val="24"/>
        </w:rPr>
        <w:t>MLflow</w:t>
      </w:r>
      <w:proofErr w:type="spellEnd"/>
      <w:r>
        <w:rPr>
          <w:rFonts w:ascii="Times New Roman" w:eastAsia="Times New Roman" w:hAnsi="Times New Roman" w:cs="Times New Roman"/>
          <w:sz w:val="24"/>
          <w:szCs w:val="24"/>
        </w:rPr>
        <w:t xml:space="preserve"> allow seamless model updates and A/B testing before deployment. These optimizations ensure the model remains efficient, responsive, and adaptable to real-world usage.</w:t>
      </w:r>
    </w:p>
    <w:p w14:paraId="501DDEAB" w14:textId="5DA06008" w:rsidR="00315A06" w:rsidRPr="00315A06" w:rsidRDefault="00315A06" w:rsidP="00315A06">
      <w:pPr>
        <w:pStyle w:val="Heading2"/>
        <w:jc w:val="both"/>
        <w:rPr>
          <w:rFonts w:ascii="Times New Roman" w:hAnsi="Times New Roman" w:cs="Times New Roman"/>
        </w:rPr>
      </w:pPr>
      <w:r w:rsidRPr="00315A06">
        <w:rPr>
          <w:rFonts w:ascii="Times New Roman" w:hAnsi="Times New Roman" w:cs="Times New Roman"/>
        </w:rPr>
        <w:t>Assumptions</w:t>
      </w:r>
    </w:p>
    <w:p w14:paraId="457AC687" w14:textId="66B500A7" w:rsidR="00315A06" w:rsidRPr="00315A06" w:rsidRDefault="00315A06" w:rsidP="00315A06">
      <w:pPr>
        <w:pStyle w:val="ListParagraph"/>
        <w:numPr>
          <w:ilvl w:val="0"/>
          <w:numId w:val="7"/>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The waiting time depends primarily on the selected service and timestamp features.</w:t>
      </w:r>
    </w:p>
    <w:p w14:paraId="4D33ED73" w14:textId="5A764F8E" w:rsidR="00315A06" w:rsidRPr="00315A06" w:rsidRDefault="00315A06" w:rsidP="00315A06">
      <w:pPr>
        <w:pStyle w:val="ListParagraph"/>
        <w:numPr>
          <w:ilvl w:val="0"/>
          <w:numId w:val="7"/>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Historical patterns in waiting times are valid indicators of future waiting times.</w:t>
      </w:r>
    </w:p>
    <w:p w14:paraId="3597766C" w14:textId="68F2D762" w:rsidR="00315A06" w:rsidRPr="00315A06" w:rsidRDefault="00315A06" w:rsidP="00315A06">
      <w:pPr>
        <w:pStyle w:val="ListParagraph"/>
        <w:numPr>
          <w:ilvl w:val="0"/>
          <w:numId w:val="7"/>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The dataset is sufficiently large and representative for training an accurate model.</w:t>
      </w:r>
    </w:p>
    <w:p w14:paraId="3146D4BE" w14:textId="7938A3F1" w:rsidR="00315A06" w:rsidRPr="00315A06" w:rsidRDefault="00315A06" w:rsidP="00315A06">
      <w:pPr>
        <w:pStyle w:val="ListParagraph"/>
        <w:numPr>
          <w:ilvl w:val="0"/>
          <w:numId w:val="7"/>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Seasonal and daily variations impact waiting time, captured through date-time features.</w:t>
      </w:r>
    </w:p>
    <w:p w14:paraId="41C8161B" w14:textId="31F349A1" w:rsidR="00315A06" w:rsidRPr="00315A06" w:rsidRDefault="00315A06" w:rsidP="00315A06">
      <w:pPr>
        <w:pStyle w:val="Heading2"/>
        <w:jc w:val="both"/>
        <w:rPr>
          <w:rFonts w:ascii="Times New Roman" w:hAnsi="Times New Roman" w:cs="Times New Roman"/>
        </w:rPr>
      </w:pPr>
      <w:r w:rsidRPr="00315A06">
        <w:rPr>
          <w:rFonts w:ascii="Times New Roman" w:hAnsi="Times New Roman" w:cs="Times New Roman"/>
        </w:rPr>
        <w:t>Decisions</w:t>
      </w:r>
    </w:p>
    <w:p w14:paraId="3936D925" w14:textId="263A9F05" w:rsidR="00315A06" w:rsidRPr="00315A06" w:rsidRDefault="00315A06" w:rsidP="00315A06">
      <w:pPr>
        <w:pStyle w:val="ListParagraph"/>
        <w:numPr>
          <w:ilvl w:val="0"/>
          <w:numId w:val="8"/>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Feature Engineering: Encoding service names and extracting meaningful time components were necessary to improve model accuracy.</w:t>
      </w:r>
    </w:p>
    <w:p w14:paraId="6B023CC0" w14:textId="49B2B440" w:rsidR="00315A06" w:rsidRPr="00315A06" w:rsidRDefault="00315A06" w:rsidP="00315A06">
      <w:pPr>
        <w:pStyle w:val="ListParagraph"/>
        <w:numPr>
          <w:ilvl w:val="0"/>
          <w:numId w:val="8"/>
        </w:numPr>
        <w:jc w:val="both"/>
        <w:rPr>
          <w:rFonts w:ascii="Times New Roman" w:eastAsia="Times New Roman" w:hAnsi="Times New Roman" w:cs="Times New Roman"/>
          <w:sz w:val="24"/>
          <w:szCs w:val="24"/>
        </w:rPr>
      </w:pPr>
      <w:r w:rsidRPr="00315A06">
        <w:rPr>
          <w:rFonts w:ascii="Times New Roman" w:eastAsia="Times New Roman" w:hAnsi="Times New Roman" w:cs="Times New Roman"/>
          <w:sz w:val="24"/>
          <w:szCs w:val="24"/>
        </w:rPr>
        <w:t xml:space="preserve">Model Selection: </w:t>
      </w:r>
      <w:r>
        <w:rPr>
          <w:rFonts w:ascii="Times New Roman" w:eastAsia="Times New Roman" w:hAnsi="Times New Roman" w:cs="Times New Roman"/>
          <w:sz w:val="24"/>
          <w:szCs w:val="24"/>
        </w:rPr>
        <w:t xml:space="preserve">A </w:t>
      </w:r>
      <w:r w:rsidRPr="00315A06">
        <w:rPr>
          <w:rFonts w:ascii="Times New Roman" w:eastAsia="Times New Roman" w:hAnsi="Times New Roman" w:cs="Times New Roman"/>
          <w:sz w:val="24"/>
          <w:szCs w:val="24"/>
        </w:rPr>
        <w:t>Random Forest Regressor was chosen for its robustness and ability to handle complex relationships.</w:t>
      </w:r>
    </w:p>
    <w:sectPr w:rsidR="00315A06" w:rsidRPr="00315A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4DFB"/>
    <w:multiLevelType w:val="multilevel"/>
    <w:tmpl w:val="B1FA3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B4144B"/>
    <w:multiLevelType w:val="multilevel"/>
    <w:tmpl w:val="8E304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BC4542"/>
    <w:multiLevelType w:val="multilevel"/>
    <w:tmpl w:val="749CE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C74DF6"/>
    <w:multiLevelType w:val="multilevel"/>
    <w:tmpl w:val="4304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B1E74AB"/>
    <w:multiLevelType w:val="multilevel"/>
    <w:tmpl w:val="0AAA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3E525A"/>
    <w:multiLevelType w:val="hybridMultilevel"/>
    <w:tmpl w:val="1840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D3C57"/>
    <w:multiLevelType w:val="multilevel"/>
    <w:tmpl w:val="07A2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351066"/>
    <w:multiLevelType w:val="hybridMultilevel"/>
    <w:tmpl w:val="9E34A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87"/>
    <w:rsid w:val="00052958"/>
    <w:rsid w:val="00315A06"/>
    <w:rsid w:val="006C0487"/>
    <w:rsid w:val="0086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2435B"/>
  <w15:docId w15:val="{586B540F-B1A3-4BFC-A8A9-175F1B72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15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800</Words>
  <Characters>4863</Characters>
  <Application>Microsoft Office Word</Application>
  <DocSecurity>0</DocSecurity>
  <Lines>180</Lines>
  <Paragraphs>134</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Tamim</cp:lastModifiedBy>
  <cp:revision>4</cp:revision>
  <dcterms:created xsi:type="dcterms:W3CDTF">2025-02-05T18:28:00Z</dcterms:created>
  <dcterms:modified xsi:type="dcterms:W3CDTF">2025-02-05T19:33:00Z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da7ae5f8ee4acf6da10c1d7653f2457d9013544b80f529a979cf7c3cbebb63fc</vt:lpwstr>
  </property>
</Properties>
</file>