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D1EF" w14:textId="77777777" w:rsidR="00223AC3" w:rsidRPr="00223AC3" w:rsidRDefault="00223AC3" w:rsidP="00223AC3">
      <w:pPr>
        <w:spacing w:after="180" w:line="240" w:lineRule="auto"/>
        <w:outlineLvl w:val="2"/>
        <w:rPr>
          <w:rFonts w:ascii="Arial" w:eastAsia="Times New Roman" w:hAnsi="Arial" w:cs="Arial"/>
          <w:b/>
          <w:bCs/>
          <w:color w:val="101820"/>
          <w:sz w:val="33"/>
          <w:szCs w:val="33"/>
          <w:lang w:val="en-US" w:eastAsia="pt-BR"/>
        </w:rPr>
      </w:pPr>
      <w:r w:rsidRPr="00223AC3">
        <w:rPr>
          <w:rFonts w:ascii="Arial" w:eastAsia="Times New Roman" w:hAnsi="Arial" w:cs="Arial"/>
          <w:b/>
          <w:bCs/>
          <w:color w:val="101820"/>
          <w:sz w:val="33"/>
          <w:szCs w:val="33"/>
          <w:lang w:val="en-US" w:eastAsia="pt-BR"/>
        </w:rPr>
        <w:t>Field reference</w:t>
      </w:r>
    </w:p>
    <w:p w14:paraId="1FEEA5E7" w14:textId="77777777" w:rsidR="00223AC3" w:rsidRPr="00223AC3" w:rsidRDefault="00223AC3" w:rsidP="00223AC3">
      <w:pPr>
        <w:spacing w:before="180" w:after="180" w:line="330" w:lineRule="atLeast"/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</w:pPr>
      <w:r w:rsidRPr="00223AC3"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  <w:t>The following fields are currently included in the database.</w:t>
      </w:r>
    </w:p>
    <w:p w14:paraId="439005B7" w14:textId="215F4DDC" w:rsidR="00EE134E" w:rsidRPr="00223AC3" w:rsidRDefault="00EE134E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897"/>
        <w:gridCol w:w="1173"/>
        <w:gridCol w:w="3396"/>
      </w:tblGrid>
      <w:tr w:rsidR="00223AC3" w:rsidRPr="00223AC3" w14:paraId="1E44F866" w14:textId="77777777" w:rsidTr="00223AC3">
        <w:trPr>
          <w:gridAfter w:val="3"/>
        </w:trPr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BF9EEA4" w14:textId="77777777" w:rsidR="00223AC3" w:rsidRPr="00223AC3" w:rsidRDefault="00223AC3" w:rsidP="00223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223AC3" w:rsidRPr="00223AC3" w14:paraId="67B840DD" w14:textId="77777777" w:rsidTr="00223AC3">
        <w:tc>
          <w:tcPr>
            <w:tcW w:w="0" w:type="auto"/>
            <w:shd w:val="clear" w:color="auto" w:fill="DBEDD4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FA2D55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b/>
                <w:bCs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b/>
                <w:bCs/>
                <w:color w:val="101820"/>
                <w:sz w:val="21"/>
                <w:szCs w:val="21"/>
                <w:lang w:val="pt-BR" w:eastAsia="pt-BR"/>
              </w:rPr>
              <w:t>Field name</w:t>
            </w:r>
          </w:p>
        </w:tc>
        <w:tc>
          <w:tcPr>
            <w:tcW w:w="0" w:type="auto"/>
            <w:shd w:val="clear" w:color="auto" w:fill="DBEDD4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A9EC45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b/>
                <w:bCs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b/>
                <w:bCs/>
                <w:color w:val="101820"/>
                <w:sz w:val="21"/>
                <w:szCs w:val="21"/>
                <w:lang w:val="pt-BR" w:eastAsia="pt-BR"/>
              </w:rPr>
              <w:t>Description</w:t>
            </w:r>
          </w:p>
        </w:tc>
        <w:tc>
          <w:tcPr>
            <w:tcW w:w="0" w:type="auto"/>
            <w:shd w:val="clear" w:color="auto" w:fill="DBEDD4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FD9FD77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b/>
                <w:bCs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b/>
                <w:bCs/>
                <w:color w:val="101820"/>
                <w:sz w:val="21"/>
                <w:szCs w:val="21"/>
                <w:lang w:val="pt-BR" w:eastAsia="pt-BR"/>
              </w:rPr>
              <w:t>Data type</w:t>
            </w:r>
          </w:p>
        </w:tc>
        <w:tc>
          <w:tcPr>
            <w:tcW w:w="0" w:type="auto"/>
            <w:shd w:val="clear" w:color="auto" w:fill="DBEDD4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8DD955E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b/>
                <w:bCs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b/>
                <w:bCs/>
                <w:color w:val="101820"/>
                <w:sz w:val="21"/>
                <w:szCs w:val="21"/>
                <w:lang w:val="pt-BR" w:eastAsia="pt-BR"/>
              </w:rPr>
              <w:t>Notes</w:t>
            </w:r>
          </w:p>
        </w:tc>
      </w:tr>
      <w:tr w:rsidR="00223AC3" w:rsidRPr="00223AC3" w14:paraId="1CB62B2F" w14:textId="77777777" w:rsidTr="00223AC3"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29D5918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Date received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96FBC66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The date the CFPB received the complaint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E9B3DE5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date &amp; time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4A22D71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</w:p>
        </w:tc>
      </w:tr>
      <w:tr w:rsidR="00223AC3" w:rsidRPr="00223AC3" w14:paraId="315D2D7C" w14:textId="77777777" w:rsidTr="00223AC3"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3A36977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Product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F11C754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The type of product the consumer identified in the complaint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818DE32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plain text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D110799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This field is a categorical variable.</w:t>
            </w:r>
          </w:p>
        </w:tc>
      </w:tr>
      <w:tr w:rsidR="00223AC3" w:rsidRPr="00223AC3" w14:paraId="1DC1BA1E" w14:textId="77777777" w:rsidTr="00223AC3"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EA6AAAA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Sub-product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AEE1393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The type of sub-product the consumer identified in the complaint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A71C3BF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plain text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96F4BF4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This field is a categorical variable. Not all Products have Sub-products.</w:t>
            </w:r>
          </w:p>
        </w:tc>
      </w:tr>
      <w:tr w:rsidR="00223AC3" w:rsidRPr="00223AC3" w14:paraId="5764351B" w14:textId="77777777" w:rsidTr="00223AC3"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C0DC8A6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Issue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7D7412D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The issue the consumer identified in the complaint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7EC3005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plain text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AFAED09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This field is a categorical variable. Possible values are dependent on Product.</w:t>
            </w:r>
          </w:p>
        </w:tc>
      </w:tr>
      <w:tr w:rsidR="00223AC3" w:rsidRPr="00223AC3" w14:paraId="7180BEA6" w14:textId="77777777" w:rsidTr="00223AC3"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A56278C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Sub-issue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637FE6D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The sub-issue the consumer identified in the complaint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D2869E5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plain text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2736F47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This field is a categorical variable.</w:t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  <w:t>Possible values are dependent on product and issue.</w:t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  <w:t>Not all Issues have corresponding Sub-issues.</w:t>
            </w:r>
          </w:p>
        </w:tc>
      </w:tr>
      <w:tr w:rsidR="00223AC3" w:rsidRPr="00223AC3" w14:paraId="0FF3439B" w14:textId="77777777" w:rsidTr="00223AC3"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31EC78F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lastRenderedPageBreak/>
              <w:t>Consumer complaint narrative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EDAB075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Consumer complaint narrative is the consumer-submitted description of "what happened" from the complaint. Consumers must opt-in to share their narrative. We will not publish the narrative unless the consumer consents, and consumers can opt-out at any time. The CFPB takes reasonable steps to scrub personal information from each complaint that could be used to identify the consumer.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6B06DEB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plain text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9759C1F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Consumers' descriptions of what happened are included if consumers consent to publishing the description and after we take steps to remove personal information.</w:t>
            </w:r>
          </w:p>
        </w:tc>
      </w:tr>
      <w:tr w:rsidR="00223AC3" w:rsidRPr="00223AC3" w14:paraId="18DFE2C8" w14:textId="77777777" w:rsidTr="00223AC3"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2754BD5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Company public response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8EAD888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The company's optional, public-facing response to a consumer's complaint. Companies can choose to select a response from a pre-set list of options that will be posted on the public database. For example, "Company believes complaint is the result of an isolated error."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481D56B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plain text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3E52597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Companies' public-facing responses to complaints are included if companies choose to publish one. Companies may select a public response from a set list of options as soon as they respond to the complaint, but no later than 180 days after the complaint was sent to the company for response.</w:t>
            </w:r>
          </w:p>
        </w:tc>
      </w:tr>
      <w:tr w:rsidR="00223AC3" w:rsidRPr="00223AC3" w14:paraId="1332C6EE" w14:textId="77777777" w:rsidTr="00223AC3"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00BCCB9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Company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FB9CCA5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The complaint is about this company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5EC9DF2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plain text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1743C1B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This field is a categorical variable.</w:t>
            </w:r>
          </w:p>
        </w:tc>
      </w:tr>
      <w:tr w:rsidR="00223AC3" w:rsidRPr="00223AC3" w14:paraId="1AAA445B" w14:textId="77777777" w:rsidTr="00223AC3"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E065A53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lastRenderedPageBreak/>
              <w:t>State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4C3EF07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The state of the mailing address provided by the consumer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BB5C752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plain text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7AC5E4C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This field is a categorical variable.</w:t>
            </w:r>
          </w:p>
        </w:tc>
      </w:tr>
      <w:tr w:rsidR="00223AC3" w:rsidRPr="00223AC3" w14:paraId="1B86044D" w14:textId="77777777" w:rsidTr="00223AC3"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10D1A1F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ZIP code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EAFE08B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The mailing ZIP code provided by the consumer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C4600B2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plain text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495A274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Mailing ZIP code provided by the consumer. This field may: i) include the first five digits of a ZIP code; ii) include the first three digits of a ZIP code (if the consumer consented to publication of their complaint narrative); or iii) be blank (if ZIP codes have been submitted with non-numeric values, if there are less than 20,000 people in a given ZIP code, or if the complaint has an address outside of the United States).</w:t>
            </w:r>
          </w:p>
        </w:tc>
      </w:tr>
      <w:tr w:rsidR="00223AC3" w:rsidRPr="00223AC3" w14:paraId="2C3D5E59" w14:textId="77777777" w:rsidTr="00223AC3"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F5FAE5F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Tags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4B17FC1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Data that supports easier searching and sorting of complaints submitted by or on behalf of consumers.</w:t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  <w:t xml:space="preserve">For example, complaints where the submitter reports the age of the consumer as 62 years or older are tagged, ‘Older American.’ Complaints submitted by or on behalf of a servicemember or the spouse or dependent of a servicemember are tagged, ‘Servicemember.’ </w:t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lastRenderedPageBreak/>
              <w:t>Servicemember includes anyone who is active duty, National Guard, or Reservist, as well as anyone who previously served and is a Veteran or retiree.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87ED1B9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lastRenderedPageBreak/>
              <w:t>plain text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4409268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</w:p>
        </w:tc>
      </w:tr>
      <w:tr w:rsidR="00223AC3" w:rsidRPr="00223AC3" w14:paraId="0F413ABA" w14:textId="77777777" w:rsidTr="00223AC3"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9594982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Consumer consent provided?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165DD84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Identifies whether the consumer opted in to publish their complaint narrative. We do not publish the narrative unless the consumer consents and consumers can opt-out at any time.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BEFC9E6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plain text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9215831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This field shows whether a consumer provided consent to publish their complaint narrative, as listed below:</w:t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</w:r>
            <w:r w:rsidRPr="00223AC3">
              <w:rPr>
                <w:rFonts w:ascii="Arial" w:eastAsia="Times New Roman" w:hAnsi="Arial" w:cs="Arial"/>
                <w:b/>
                <w:bCs/>
                <w:color w:val="101820"/>
                <w:sz w:val="21"/>
                <w:szCs w:val="21"/>
                <w:lang w:val="pt-BR" w:eastAsia="pt-BR"/>
              </w:rPr>
              <w:t>Consent provided:</w:t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 Consumer opted in to share their complaint narrative.</w:t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  <w:t>Data populates in this field 60 days after the complaint was sent to the company for response or after the company provides an optional company public response – whichever comes first, and after steps have been taken to scrub personal information from the complaint narrative.</w:t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</w:r>
            <w:r w:rsidRPr="00223AC3">
              <w:rPr>
                <w:rFonts w:ascii="Arial" w:eastAsia="Times New Roman" w:hAnsi="Arial" w:cs="Arial"/>
                <w:b/>
                <w:bCs/>
                <w:color w:val="101820"/>
                <w:sz w:val="21"/>
                <w:szCs w:val="21"/>
                <w:lang w:val="pt-BR" w:eastAsia="pt-BR"/>
              </w:rPr>
              <w:t>Consent not provided:</w:t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 xml:space="preserve"> Consumer did not opt-in to publish their complaint narrative. Data populates in this field 60 days after the complaint was sent to the company for response or after the company provides an optional company public </w:t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lastRenderedPageBreak/>
              <w:t>response – whichever comes first.</w:t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</w:r>
            <w:r w:rsidRPr="00223AC3">
              <w:rPr>
                <w:rFonts w:ascii="Arial" w:eastAsia="Times New Roman" w:hAnsi="Arial" w:cs="Arial"/>
                <w:b/>
                <w:bCs/>
                <w:color w:val="101820"/>
                <w:sz w:val="21"/>
                <w:szCs w:val="21"/>
                <w:lang w:val="pt-BR" w:eastAsia="pt-BR"/>
              </w:rPr>
              <w:t>Consent withdrawn:</w:t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 Consumer opted in to publish their complaint narrative and later withdrew their consent.</w:t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</w:r>
            <w:r w:rsidRPr="00223AC3">
              <w:rPr>
                <w:rFonts w:ascii="Arial" w:eastAsia="Times New Roman" w:hAnsi="Arial" w:cs="Arial"/>
                <w:b/>
                <w:bCs/>
                <w:color w:val="101820"/>
                <w:sz w:val="21"/>
                <w:szCs w:val="21"/>
                <w:lang w:val="pt-BR" w:eastAsia="pt-BR"/>
              </w:rPr>
              <w:t>N/A:</w:t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 Consumers did not have the option to publish their consumer complaint narrative or the complaint was received before March 19, 2015. Data populates in this field immediately.</w:t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</w:r>
            <w:r w:rsidRPr="00223AC3">
              <w:rPr>
                <w:rFonts w:ascii="Arial" w:eastAsia="Times New Roman" w:hAnsi="Arial" w:cs="Arial"/>
                <w:b/>
                <w:bCs/>
                <w:color w:val="101820"/>
                <w:sz w:val="21"/>
                <w:szCs w:val="21"/>
                <w:lang w:val="pt-BR" w:eastAsia="pt-BR"/>
              </w:rPr>
              <w:t>Other:</w:t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 Complaint does not meet criteria for narrative publication.</w:t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  <w:t>Blanks appear until at least 60 days after the complaint is sent to the company for response or until the company provides an optional company public response – whichever comes first.</w:t>
            </w:r>
          </w:p>
        </w:tc>
      </w:tr>
      <w:tr w:rsidR="00223AC3" w:rsidRPr="00223AC3" w14:paraId="4A705FDF" w14:textId="77777777" w:rsidTr="00223AC3"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476ACD6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lastRenderedPageBreak/>
              <w:t>Submitted via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7D18194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How the complaint was submitted to the CFPB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B6503EC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plain text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D5469ED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This field is a categorical variable.</w:t>
            </w:r>
          </w:p>
        </w:tc>
      </w:tr>
      <w:tr w:rsidR="00223AC3" w:rsidRPr="00223AC3" w14:paraId="7BDB1CF9" w14:textId="77777777" w:rsidTr="00223AC3"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41ABF62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Date sent to company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12CF67C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The date the CFPB sent the complaint to the company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4F8AB64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date &amp; time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2D40BF2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</w:p>
        </w:tc>
      </w:tr>
      <w:tr w:rsidR="00223AC3" w:rsidRPr="00223AC3" w14:paraId="5900689A" w14:textId="77777777" w:rsidTr="00223AC3"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FF38966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lastRenderedPageBreak/>
              <w:t>Company response to consumer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CEADB28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This is how the company responded. For example, "Closed with explanation."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E663D9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plain text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9915F42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This field is a categorical variable.</w:t>
            </w:r>
          </w:p>
        </w:tc>
      </w:tr>
      <w:tr w:rsidR="00223AC3" w:rsidRPr="00223AC3" w14:paraId="272ABC56" w14:textId="77777777" w:rsidTr="00223AC3"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FB9BF12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Timely response?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3E421A8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en-US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en-US" w:eastAsia="pt-BR"/>
              </w:rPr>
              <w:t>Whether the company gave a timely response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1EBF749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plain text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47A6969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yes/no</w:t>
            </w:r>
          </w:p>
        </w:tc>
      </w:tr>
      <w:tr w:rsidR="00223AC3" w:rsidRPr="00223AC3" w14:paraId="2BB4D49E" w14:textId="77777777" w:rsidTr="00223AC3"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D87E4E4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Consumer disputed?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164DAC4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Whether the consumer disputed the company’s response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529662C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plain text</w:t>
            </w:r>
          </w:p>
        </w:tc>
        <w:tc>
          <w:tcPr>
            <w:tcW w:w="0" w:type="auto"/>
            <w:shd w:val="clear" w:color="auto" w:fill="F8F8F8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0417F13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b/>
                <w:bCs/>
                <w:color w:val="101820"/>
                <w:sz w:val="21"/>
                <w:szCs w:val="21"/>
                <w:lang w:val="pt-BR" w:eastAsia="pt-BR"/>
              </w:rPr>
              <w:t>Yes</w:t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</w:r>
            <w:r w:rsidRPr="00223AC3">
              <w:rPr>
                <w:rFonts w:ascii="Arial" w:eastAsia="Times New Roman" w:hAnsi="Arial" w:cs="Arial"/>
                <w:b/>
                <w:bCs/>
                <w:color w:val="101820"/>
                <w:sz w:val="21"/>
                <w:szCs w:val="21"/>
                <w:lang w:val="pt-BR" w:eastAsia="pt-BR"/>
              </w:rPr>
              <w:t>No</w:t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br/>
            </w:r>
            <w:r w:rsidRPr="00223AC3">
              <w:rPr>
                <w:rFonts w:ascii="Arial" w:eastAsia="Times New Roman" w:hAnsi="Arial" w:cs="Arial"/>
                <w:b/>
                <w:bCs/>
                <w:color w:val="101820"/>
                <w:sz w:val="21"/>
                <w:szCs w:val="21"/>
                <w:lang w:val="pt-BR" w:eastAsia="pt-BR"/>
              </w:rPr>
              <w:t>N/A:</w:t>
            </w: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 The Bureau discontinued the consumer dispute option on April 24, 2017.</w:t>
            </w:r>
          </w:p>
        </w:tc>
      </w:tr>
      <w:tr w:rsidR="00223AC3" w:rsidRPr="00223AC3" w14:paraId="67E3724E" w14:textId="77777777" w:rsidTr="00223AC3"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34D8DA2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Complaint ID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13F70B1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The unique identification number for a complaint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9D32545" w14:textId="77777777" w:rsidR="00223AC3" w:rsidRPr="00223AC3" w:rsidRDefault="00223AC3" w:rsidP="00223AC3">
            <w:pPr>
              <w:spacing w:after="330" w:line="360" w:lineRule="atLeast"/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</w:pPr>
            <w:r w:rsidRPr="00223AC3">
              <w:rPr>
                <w:rFonts w:ascii="Arial" w:eastAsia="Times New Roman" w:hAnsi="Arial" w:cs="Arial"/>
                <w:color w:val="101820"/>
                <w:sz w:val="21"/>
                <w:szCs w:val="21"/>
                <w:lang w:val="pt-BR" w:eastAsia="pt-BR"/>
              </w:rPr>
              <w:t>number</w:t>
            </w:r>
          </w:p>
        </w:tc>
        <w:tc>
          <w:tcPr>
            <w:tcW w:w="0" w:type="auto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449A248" w14:textId="77777777" w:rsidR="00223AC3" w:rsidRPr="00223AC3" w:rsidRDefault="00223AC3" w:rsidP="00223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</w:tbl>
    <w:p w14:paraId="603ABA93" w14:textId="77777777" w:rsidR="00223AC3" w:rsidRPr="00223AC3" w:rsidRDefault="00223AC3">
      <w:pPr>
        <w:rPr>
          <w:lang w:val="en-US"/>
        </w:rPr>
      </w:pPr>
    </w:p>
    <w:sectPr w:rsidR="00223AC3" w:rsidRPr="00223AC3" w:rsidSect="00D92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D7B"/>
    <w:rsid w:val="00223AC3"/>
    <w:rsid w:val="00380D7B"/>
    <w:rsid w:val="00D92A99"/>
    <w:rsid w:val="00E260CF"/>
    <w:rsid w:val="00EE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EE9D8"/>
  <w15:chartTrackingRefBased/>
  <w15:docId w15:val="{54B8C2FA-D3CD-4612-BD81-6BA52981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tulo3">
    <w:name w:val="heading 3"/>
    <w:basedOn w:val="Normal"/>
    <w:link w:val="Ttulo3Char"/>
    <w:uiPriority w:val="9"/>
    <w:qFormat/>
    <w:rsid w:val="00223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23A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2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223A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845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Tamires Martins</dc:creator>
  <cp:keywords/>
  <dc:description/>
  <cp:lastModifiedBy>Tamires Martins</cp:lastModifiedBy>
  <cp:revision>2</cp:revision>
  <dcterms:created xsi:type="dcterms:W3CDTF">2021-12-05T18:19:00Z</dcterms:created>
  <dcterms:modified xsi:type="dcterms:W3CDTF">2021-12-05T18:23:00Z</dcterms:modified>
</cp:coreProperties>
</file>