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Revised deer-counting manuscript — responses to comments</w:t>
      </w:r>
    </w:p>
    <w:p>
      <w:r>
        <w:rPr>
          <w:b w:val="0"/>
        </w:rPr>
        <w:t>Hi Guillaume,</w:t>
      </w:r>
    </w:p>
    <w:p>
      <w:r>
        <w:rPr>
          <w:b w:val="0"/>
        </w:rPr>
        <w:t>Thank you for the careful comments. I have revised the manuscript and addressed all of them. The main changes:</w:t>
      </w:r>
    </w:p>
    <w:p>
      <w:pPr>
        <w:pStyle w:val="ListBullet"/>
      </w:pPr>
      <w:r>
        <w:t>Abstract and Introduction: clarified the opening, limited the conclusion to this survey rather than thermal counting in general, and moved all results out of the Introduction.</w:t>
      </w:r>
    </w:p>
    <w:p>
      <w:pPr>
        <w:pStyle w:val="ListBullet"/>
      </w:pPr>
      <w:r>
        <w:t>Confirmation rule: its values come from a grid search on the training videos and are frozen before testing, not set a priori; s ≥ 0 imposes no constraint. The full grid is now shown in Section 4.6. Your suggested m = 2, c = 0.3 accepts 477 tracks for 83 deer, so a looser rule turns missed animals into duplicates rather than removing the bottleneck.</w:t>
      </w:r>
    </w:p>
    <w:p>
      <w:pPr>
        <w:pStyle w:val="ListBullet"/>
      </w:pPr>
      <w:r>
        <w:t>Site vs survey night: each site was surveyed on a single night, so the threshold shift cannot be separated from temperature and thermal contrast. The text now says so.</w:t>
      </w:r>
    </w:p>
    <w:p>
      <w:pPr>
        <w:pStyle w:val="ListBullet"/>
      </w:pPr>
      <w:r>
        <w:t>Box size: detection stays near 100% above 30 px, but counting drops to 22% below 20 px (Section 4.10).</w:t>
      </w:r>
    </w:p>
    <w:p>
      <w:pPr>
        <w:pStyle w:val="ListBullet"/>
      </w:pPr>
      <w:r>
        <w:t>Uncertainty and determinism: repeated runs give identical counts; our per-video interval covers only false positives, so it is no longer presented as a count interval.</w:t>
      </w:r>
    </w:p>
    <w:p>
      <w:pPr>
        <w:pStyle w:val="ListBullet"/>
      </w:pPr>
      <w:r>
        <w:t>Ground truth is what an annotator could see, not true abundance, and is now listed as a limitation.</w:t>
      </w:r>
    </w:p>
    <w:p>
      <w:pPr>
        <w:pStyle w:val="ListBullet"/>
      </w:pPr>
      <w:r>
        <w:t>Also fixed two errors in Table 6, added Diefenbach et al. (2025), and added the W87R funding and the IDNR acknowledgement.</w:t>
      </w:r>
    </w:p>
    <w:p>
      <w:r>
        <w:rPr>
          <w:b w:val="0"/>
        </w:rPr>
        <w:t>The data availability statement will cite the Zenodo DOI once the deposit is ready.</w:t>
      </w:r>
    </w:p>
    <w:p>
      <w:r>
        <w:rPr>
          <w:b w:val="0"/>
        </w:rPr>
        <w:t>Best regards,</w:t>
        <w:br/>
        <w:t>Taminul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