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Responses to supervisor review — Deer_counting_draft_GBR.pdf</w:t>
      </w:r>
    </w:p>
    <w:p>
      <w:r>
        <w:rPr>
          <w:sz w:val="19"/>
        </w:rPr>
        <w:t>All 19 comments were addressed in the manuscript. Section and table numbers refer to the revised version.</w:t>
      </w:r>
    </w:p>
    <w:tbl>
      <w:tblPr>
        <w:tblStyle w:val="TableGrid"/>
        <w:tblW w:type="auto" w:w="0"/>
        <w:jc w:val="center"/>
        <w:tblLook w:firstColumn="1" w:firstRow="1" w:lastColumn="0" w:lastRow="0" w:noHBand="0" w:noVBand="1" w:val="04A0"/>
      </w:tblPr>
      <w:tblGrid>
        <w:gridCol w:w="2805"/>
        <w:gridCol w:w="2805"/>
        <w:gridCol w:w="2805"/>
        <w:gridCol w:w="2805"/>
        <w:gridCol w:w="2805"/>
      </w:tblGrid>
      <w:tr>
        <w:trPr>
          <w:tblHeader w:val="true"/>
        </w:trPr>
        <w:tc>
          <w:tcPr>
            <w:tcW w:type="dxa" w:w="510"/>
            <w:shd w:val="clear" w:fill="DCE6EF"/>
          </w:tcPr>
          <w:p>
            <w:r/>
            <w:r>
              <w:rPr>
                <w:b/>
              </w:rPr>
              <w:t>#</w:t>
            </w:r>
          </w:p>
        </w:tc>
        <w:tc>
          <w:tcPr>
            <w:tcW w:type="dxa" w:w="1928"/>
            <w:shd w:val="clear" w:fill="DCE6EF"/>
          </w:tcPr>
          <w:p>
            <w:r/>
            <w:r>
              <w:rPr>
                <w:b/>
              </w:rPr>
              <w:t>Location</w:t>
            </w:r>
          </w:p>
        </w:tc>
        <w:tc>
          <w:tcPr>
            <w:tcW w:type="dxa" w:w="3175"/>
            <w:shd w:val="clear" w:fill="DCE6EF"/>
          </w:tcPr>
          <w:p>
            <w:r/>
            <w:r>
              <w:rPr>
                <w:b/>
              </w:rPr>
              <w:t>Comment</w:t>
            </w:r>
          </w:p>
        </w:tc>
        <w:tc>
          <w:tcPr>
            <w:tcW w:type="dxa" w:w="1077"/>
            <w:shd w:val="clear" w:fill="DCE6EF"/>
          </w:tcPr>
          <w:p>
            <w:r/>
            <w:r>
              <w:rPr>
                <w:b/>
              </w:rPr>
              <w:t>Action</w:t>
            </w:r>
          </w:p>
        </w:tc>
        <w:tc>
          <w:tcPr>
            <w:tcW w:type="dxa" w:w="7597"/>
            <w:shd w:val="clear" w:fill="DCE6EF"/>
          </w:tcPr>
          <w:p>
            <w:r/>
            <w:r>
              <w:rPr>
                <w:b/>
              </w:rPr>
              <w:t>Response</w:t>
            </w:r>
          </w:p>
        </w:tc>
      </w:tr>
      <w:tr>
        <w:tc>
          <w:tcPr>
            <w:tcW w:type="dxa" w:w="510"/>
          </w:tcPr>
          <w:p>
            <w:r>
              <w:t>1</w:t>
            </w:r>
          </w:p>
        </w:tc>
        <w:tc>
          <w:tcPr>
            <w:tcW w:type="dxa" w:w="1928"/>
          </w:tcPr>
          <w:p>
            <w:r>
              <w:t>Abstract, l. 2</w:t>
            </w:r>
          </w:p>
        </w:tc>
        <w:tc>
          <w:tcPr>
            <w:tcW w:type="dxa" w:w="3175"/>
          </w:tcPr>
          <w:p>
            <w:r>
              <w:t>“wildlife surveys ask how many animals are present”</w:t>
            </w:r>
          </w:p>
        </w:tc>
        <w:tc>
          <w:tcPr>
            <w:tcW w:type="dxa" w:w="1077"/>
          </w:tcPr>
          <w:p>
            <w:r>
              <w:rPr>
                <w:color w:val="1E7A3C"/>
              </w:rPr>
              <w:t>Changed</w:t>
            </w:r>
          </w:p>
        </w:tc>
        <w:tc>
          <w:tcPr>
            <w:tcW w:type="dxa" w:w="7597"/>
          </w:tcPr>
          <w:p>
            <w:r>
              <w:t>Rephrased as “wildlife surveys often aim to estimate the abundance of animals in an area”.</w:t>
            </w:r>
          </w:p>
        </w:tc>
      </w:tr>
      <w:tr>
        <w:tc>
          <w:tcPr>
            <w:tcW w:type="dxa" w:w="510"/>
          </w:tcPr>
          <w:p>
            <w:r>
              <w:t>2</w:t>
            </w:r>
          </w:p>
        </w:tc>
        <w:tc>
          <w:tcPr>
            <w:tcW w:type="dxa" w:w="1928"/>
          </w:tcPr>
          <w:p>
            <w:r>
              <w:t>Abstract, ll. 2–3</w:t>
            </w:r>
          </w:p>
        </w:tc>
        <w:tc>
          <w:tcPr>
            <w:tcW w:type="dxa" w:w="3175"/>
          </w:tcPr>
          <w:p>
            <w:r>
              <w:t>“optimized as detectors” — unclear</w:t>
            </w:r>
          </w:p>
        </w:tc>
        <w:tc>
          <w:tcPr>
            <w:tcW w:type="dxa" w:w="1077"/>
          </w:tcPr>
          <w:p>
            <w:r>
              <w:rPr>
                <w:color w:val="1E7A3C"/>
              </w:rPr>
              <w:t>Changed</w:t>
            </w:r>
          </w:p>
        </w:tc>
        <w:tc>
          <w:tcPr>
            <w:tcW w:type="dxa" w:w="7597"/>
          </w:tcPr>
          <w:p>
            <w:r>
              <w:t>Clarified: automated pipelines are usually judged as object detectors, by how well they locate animals in individual frames rather than by how many distinct animals they count.</w:t>
            </w:r>
          </w:p>
        </w:tc>
      </w:tr>
      <w:tr>
        <w:tc>
          <w:tcPr>
            <w:tcW w:type="dxa" w:w="510"/>
          </w:tcPr>
          <w:p>
            <w:r>
              <w:t>3</w:t>
            </w:r>
          </w:p>
        </w:tc>
        <w:tc>
          <w:tcPr>
            <w:tcW w:type="dxa" w:w="1928"/>
          </w:tcPr>
          <w:p>
            <w:r>
              <w:t>Abstract, Conclusions</w:t>
            </w:r>
          </w:p>
        </w:tc>
        <w:tc>
          <w:tcPr>
            <w:tcW w:type="dxa" w:w="3175"/>
          </w:tcPr>
          <w:p>
            <w:r>
              <w:t>“in thermal wildlife counting” — too broad?</w:t>
            </w:r>
          </w:p>
        </w:tc>
        <w:tc>
          <w:tcPr>
            <w:tcW w:type="dxa" w:w="1077"/>
          </w:tcPr>
          <w:p>
            <w:r>
              <w:rPr>
                <w:color w:val="1E7A3C"/>
              </w:rPr>
              <w:t>Changed</w:t>
            </w:r>
          </w:p>
        </w:tc>
        <w:tc>
          <w:tcPr>
            <w:tcW w:type="dxa" w:w="7597"/>
          </w:tcPr>
          <w:p>
            <w:r>
              <w:t>Agreed. Now scoped to “in this survey”. Sonar fish counting finds the opposite, which the Related Work already discusses, so the broad claim is not warranted.</w:t>
            </w:r>
          </w:p>
        </w:tc>
      </w:tr>
      <w:tr>
        <w:tc>
          <w:tcPr>
            <w:tcW w:type="dxa" w:w="510"/>
          </w:tcPr>
          <w:p>
            <w:r>
              <w:t>4</w:t>
            </w:r>
          </w:p>
        </w:tc>
        <w:tc>
          <w:tcPr>
            <w:tcW w:type="dxa" w:w="1928"/>
          </w:tcPr>
          <w:p>
            <w:r>
              <w:t>Introduction, l. 22</w:t>
            </w:r>
          </w:p>
        </w:tc>
        <w:tc>
          <w:tcPr>
            <w:tcW w:type="dxa" w:w="3175"/>
          </w:tcPr>
          <w:p>
            <w:r>
              <w:t>“Wildlife management runs on counts”</w:t>
            </w:r>
          </w:p>
        </w:tc>
        <w:tc>
          <w:tcPr>
            <w:tcW w:type="dxa" w:w="1077"/>
          </w:tcPr>
          <w:p>
            <w:r>
              <w:rPr>
                <w:color w:val="1E7A3C"/>
              </w:rPr>
              <w:t>Changed</w:t>
            </w:r>
          </w:p>
        </w:tc>
        <w:tc>
          <w:tcPr>
            <w:tcW w:type="dxa" w:w="7597"/>
          </w:tcPr>
          <w:p>
            <w:r>
              <w:t>Rephrased as “Wildlife management is based on reliable estimates of wildlife abundance.”</w:t>
            </w:r>
          </w:p>
        </w:tc>
      </w:tr>
      <w:tr>
        <w:tc>
          <w:tcPr>
            <w:tcW w:type="dxa" w:w="510"/>
          </w:tcPr>
          <w:p>
            <w:r>
              <w:t>5</w:t>
            </w:r>
          </w:p>
        </w:tc>
        <w:tc>
          <w:tcPr>
            <w:tcW w:type="dxa" w:w="1928"/>
          </w:tcPr>
          <w:p>
            <w:r>
              <w:t>Introduction, l. 24</w:t>
            </w:r>
          </w:p>
        </w:tc>
        <w:tc>
          <w:tcPr>
            <w:tcW w:type="dxa" w:w="3175"/>
          </w:tcPr>
          <w:p>
            <w:r>
              <w:t>“still produced largely” — too strong</w:t>
            </w:r>
          </w:p>
        </w:tc>
        <w:tc>
          <w:tcPr>
            <w:tcW w:type="dxa" w:w="1077"/>
          </w:tcPr>
          <w:p>
            <w:r>
              <w:rPr>
                <w:color w:val="1E7A3C"/>
              </w:rPr>
              <w:t>Changed</w:t>
            </w:r>
          </w:p>
        </w:tc>
        <w:tc>
          <w:tcPr>
            <w:tcW w:type="dxa" w:w="7597"/>
          </w:tcPr>
          <w:p>
            <w:r>
              <w:t>Softened to “for larger species such as deer, one established way of estimating it is…”.</w:t>
            </w:r>
          </w:p>
        </w:tc>
      </w:tr>
      <w:tr>
        <w:tc>
          <w:tcPr>
            <w:tcW w:type="dxa" w:w="510"/>
          </w:tcPr>
          <w:p>
            <w:r>
              <w:t>6</w:t>
            </w:r>
          </w:p>
        </w:tc>
        <w:tc>
          <w:tcPr>
            <w:tcW w:type="dxa" w:w="1928"/>
          </w:tcPr>
          <w:p>
            <w:r>
              <w:t>Introduction, ll. 37–40</w:t>
            </w:r>
          </w:p>
        </w:tc>
        <w:tc>
          <w:tcPr>
            <w:tcW w:type="dxa" w:w="3175"/>
          </w:tcPr>
          <w:p>
            <w:r>
              <w:t>Results in the introduction</w:t>
            </w:r>
          </w:p>
        </w:tc>
        <w:tc>
          <w:tcPr>
            <w:tcW w:type="dxa" w:w="1077"/>
          </w:tcPr>
          <w:p>
            <w:r>
              <w:rPr>
                <w:color w:val="1E7A3C"/>
              </w:rPr>
              <w:t>Changed</w:t>
            </w:r>
          </w:p>
        </w:tc>
        <w:tc>
          <w:tcPr>
            <w:tcW w:type="dxa" w:w="7597"/>
          </w:tcPr>
          <w:p>
            <w:r>
              <w:t>Removed all results from the introduction: the performance numbers, including the leave-one-site-out result, and Figure 1, which now opens Section 4.4.</w:t>
            </w:r>
          </w:p>
        </w:tc>
      </w:tr>
      <w:tr>
        <w:tc>
          <w:tcPr>
            <w:tcW w:type="dxa" w:w="510"/>
          </w:tcPr>
          <w:p>
            <w:r>
              <w:t>7</w:t>
            </w:r>
          </w:p>
        </w:tc>
        <w:tc>
          <w:tcPr>
            <w:tcW w:type="dxa" w:w="1928"/>
          </w:tcPr>
          <w:p>
            <w:r>
              <w:t>Section 2.1, l. 99</w:t>
            </w:r>
          </w:p>
        </w:tc>
        <w:tc>
          <w:tcPr>
            <w:tcW w:type="dxa" w:w="3175"/>
          </w:tcPr>
          <w:p>
            <w:r>
              <w:t>“surveys the full landscape” — clarify</w:t>
            </w:r>
          </w:p>
        </w:tc>
        <w:tc>
          <w:tcPr>
            <w:tcW w:type="dxa" w:w="1077"/>
          </w:tcPr>
          <w:p>
            <w:r>
              <w:rPr>
                <w:color w:val="1E7A3C"/>
              </w:rPr>
              <w:t>Changed</w:t>
            </w:r>
          </w:p>
        </w:tc>
        <w:tc>
          <w:tcPr>
            <w:tcW w:type="dxa" w:w="7597"/>
          </w:tcPr>
          <w:p>
            <w:r>
              <w:t>Now reads “reviews the full range of abundance estimators available for unmarked populations”.</w:t>
            </w:r>
          </w:p>
        </w:tc>
      </w:tr>
      <w:tr>
        <w:tc>
          <w:tcPr>
            <w:tcW w:type="dxa" w:w="510"/>
          </w:tcPr>
          <w:p>
            <w:r>
              <w:t>8</w:t>
            </w:r>
          </w:p>
        </w:tc>
        <w:tc>
          <w:tcPr>
            <w:tcW w:type="dxa" w:w="1928"/>
          </w:tcPr>
          <w:p>
            <w:r>
              <w:t>Section 2.1, l. 102</w:t>
            </w:r>
          </w:p>
        </w:tc>
        <w:tc>
          <w:tcPr>
            <w:tcW w:type="dxa" w:w="3175"/>
          </w:tcPr>
          <w:p>
            <w:r>
              <w:t>Add Diefenbach et al. (2025)</w:t>
            </w:r>
          </w:p>
        </w:tc>
        <w:tc>
          <w:tcPr>
            <w:tcW w:type="dxa" w:w="1077"/>
          </w:tcPr>
          <w:p>
            <w:r>
              <w:rPr>
                <w:color w:val="1E7A3C"/>
              </w:rPr>
              <w:t>Changed</w:t>
            </w:r>
          </w:p>
        </w:tc>
        <w:tc>
          <w:tcPr>
            <w:tcW w:type="dxa" w:w="7597"/>
          </w:tcPr>
          <w:p>
            <w:r>
              <w:t>Cited after the road-transect sentence: roads used as transect lines violate distance sampling’s assumption that animals are distributed uniformly with respect to the line.</w:t>
            </w:r>
          </w:p>
        </w:tc>
      </w:tr>
      <w:tr>
        <w:tc>
          <w:tcPr>
            <w:tcW w:type="dxa" w:w="510"/>
          </w:tcPr>
          <w:p>
            <w:r>
              <w:t>9</w:t>
            </w:r>
          </w:p>
        </w:tc>
        <w:tc>
          <w:tcPr>
            <w:tcW w:type="dxa" w:w="1928"/>
          </w:tcPr>
          <w:p>
            <w:r>
              <w:t>Section 2.1, l. 152</w:t>
            </w:r>
          </w:p>
        </w:tc>
        <w:tc>
          <w:tcPr>
            <w:tcW w:type="dxa" w:w="3175"/>
          </w:tcPr>
          <w:p>
            <w:r>
              <w:t>Delete “nuisance”</w:t>
            </w:r>
          </w:p>
        </w:tc>
        <w:tc>
          <w:tcPr>
            <w:tcW w:type="dxa" w:w="1077"/>
          </w:tcPr>
          <w:p>
            <w:r>
              <w:rPr>
                <w:color w:val="1E7A3C"/>
              </w:rPr>
              <w:t>Changed</w:t>
            </w:r>
          </w:p>
        </w:tc>
        <w:tc>
          <w:tcPr>
            <w:tcW w:type="dxa" w:w="7597"/>
          </w:tcPr>
          <w:p>
            <w:r>
              <w:t>Deleted.</w:t>
            </w:r>
          </w:p>
        </w:tc>
      </w:tr>
      <w:tr>
        <w:tc>
          <w:tcPr>
            <w:tcW w:type="dxa" w:w="510"/>
          </w:tcPr>
          <w:p>
            <w:r>
              <w:t>10</w:t>
            </w:r>
          </w:p>
        </w:tc>
        <w:tc>
          <w:tcPr>
            <w:tcW w:type="dxa" w:w="1928"/>
          </w:tcPr>
          <w:p>
            <w:r>
              <w:t>Section 2.1, l. 152</w:t>
            </w:r>
          </w:p>
        </w:tc>
        <w:tc>
          <w:tcPr>
            <w:tcW w:type="dxa" w:w="3175"/>
          </w:tcPr>
          <w:p>
            <w:r>
              <w:t>Ground truth itself has imperfect detection</w:t>
            </w:r>
          </w:p>
        </w:tc>
        <w:tc>
          <w:tcPr>
            <w:tcW w:type="dxa" w:w="1077"/>
          </w:tcPr>
          <w:p>
            <w:r>
              <w:rPr>
                <w:color w:val="1E7A3C"/>
              </w:rPr>
              <w:t>Changed</w:t>
            </w:r>
          </w:p>
        </w:tc>
        <w:tc>
          <w:tcPr>
            <w:tcW w:type="dxa" w:w="7597"/>
          </w:tcPr>
          <w:p>
            <w:r>
              <w:t>Agreed. Our ground truth is what an annotator could see in the video, not true abundance. This is now stated in Section 2.1 and added as the first limitation in Section 5.5.</w:t>
            </w:r>
          </w:p>
        </w:tc>
      </w:tr>
      <w:tr>
        <w:tc>
          <w:tcPr>
            <w:tcW w:type="dxa" w:w="510"/>
          </w:tcPr>
          <w:p>
            <w:r>
              <w:t>11</w:t>
            </w:r>
          </w:p>
        </w:tc>
        <w:tc>
          <w:tcPr>
            <w:tcW w:type="dxa" w:w="1928"/>
          </w:tcPr>
          <w:p>
            <w:r>
              <w:t>Section 2.1, l. 158</w:t>
            </w:r>
          </w:p>
        </w:tc>
        <w:tc>
          <w:tcPr>
            <w:tcW w:type="dxa" w:w="3175"/>
          </w:tcPr>
          <w:p>
            <w:r>
              <w:t>Delete “in”</w:t>
            </w:r>
          </w:p>
        </w:tc>
        <w:tc>
          <w:tcPr>
            <w:tcW w:type="dxa" w:w="1077"/>
          </w:tcPr>
          <w:p>
            <w:r>
              <w:rPr>
                <w:color w:val="1E7A3C"/>
              </w:rPr>
              <w:t>Changed</w:t>
            </w:r>
          </w:p>
        </w:tc>
        <w:tc>
          <w:tcPr>
            <w:tcW w:type="dxa" w:w="7597"/>
          </w:tcPr>
          <w:p>
            <w:r>
              <w:t>Deleted.</w:t>
            </w:r>
          </w:p>
        </w:tc>
      </w:tr>
      <w:tr>
        <w:tc>
          <w:tcPr>
            <w:tcW w:type="dxa" w:w="510"/>
          </w:tcPr>
          <w:p>
            <w:r>
              <w:t>12</w:t>
            </w:r>
          </w:p>
        </w:tc>
        <w:tc>
          <w:tcPr>
            <w:tcW w:type="dxa" w:w="1928"/>
          </w:tcPr>
          <w:p>
            <w:r>
              <w:t>Section 3.3, ll. 364–365</w:t>
            </w:r>
          </w:p>
        </w:tc>
        <w:tc>
          <w:tcPr>
            <w:tcW w:type="dxa" w:w="3175"/>
          </w:tcPr>
          <w:p>
            <w:r>
              <w:t>s ≥ 0 is no criterion; values fixed a priori, then argued to be the bottleneck</w:t>
            </w:r>
          </w:p>
        </w:tc>
        <w:tc>
          <w:tcPr>
            <w:tcW w:type="dxa" w:w="1077"/>
          </w:tcPr>
          <w:p>
            <w:r>
              <w:rPr>
                <w:color w:val="1E7A3C"/>
              </w:rPr>
              <w:t>Changed</w:t>
            </w:r>
          </w:p>
        </w:tc>
        <w:tc>
          <w:tcPr>
            <w:tcW w:type="dxa" w:w="7597"/>
          </w:tcPr>
          <w:p>
            <w:r>
              <w:t>Correct that s ≥ 0 imposes nothing; Section 3.3 now says so. The values are not fixed a priori: a grid search on the 19 training videos selects them, and they are frozen before any held-out video is scored. The paper wrongly called the rule “hand-tuned” in seven places, which is now corrected. The claim is not that these values are the limit, but that every setting trades missed animals against duplicates. Section 4.6 now says this explicitly.</w:t>
            </w:r>
          </w:p>
        </w:tc>
      </w:tr>
      <w:tr>
        <w:tc>
          <w:tcPr>
            <w:tcW w:type="dxa" w:w="510"/>
          </w:tcPr>
          <w:p>
            <w:r>
              <w:t>13</w:t>
            </w:r>
          </w:p>
        </w:tc>
        <w:tc>
          <w:tcPr>
            <w:tcW w:type="dxa" w:w="1928"/>
          </w:tcPr>
          <w:p>
            <w:r>
              <w:t>Section 3.3 (note)</w:t>
            </w:r>
          </w:p>
        </w:tc>
        <w:tc>
          <w:tcPr>
            <w:tcW w:type="dxa" w:w="3175"/>
          </w:tcPr>
          <w:p>
            <w:r>
              <w:t>Why not m = 2 and c = 0.3?</w:t>
            </w:r>
          </w:p>
        </w:tc>
        <w:tc>
          <w:tcPr>
            <w:tcW w:type="dxa" w:w="1077"/>
          </w:tcPr>
          <w:p>
            <w:r>
              <w:rPr>
                <w:color w:val="1E7A3C"/>
              </w:rPr>
              <w:t>Changed</w:t>
            </w:r>
          </w:p>
        </w:tc>
        <w:tc>
          <w:tcPr>
            <w:tcW w:type="dxa" w:w="7597"/>
          </w:tcPr>
          <w:p>
            <w:r>
              <w:t>Tested. m ≥ 2, c ≥ 0.3 accepts 477 tracks for 83 animals (MAE 30.3), about six tracks per animal. It never undercounts a video, but only because it counts each animal several times. Added to Section 4.6.</w:t>
            </w:r>
          </w:p>
        </w:tc>
      </w:tr>
      <w:tr>
        <w:tc>
          <w:tcPr>
            <w:tcW w:type="dxa" w:w="510"/>
          </w:tcPr>
          <w:p>
            <w:r>
              <w:t>14</w:t>
            </w:r>
          </w:p>
        </w:tc>
        <w:tc>
          <w:tcPr>
            <w:tcW w:type="dxa" w:w="1928"/>
          </w:tcPr>
          <w:p>
            <w:r>
              <w:t>Table 6 caption</w:t>
            </w:r>
          </w:p>
        </w:tc>
        <w:tc>
          <w:tcPr>
            <w:tcW w:type="dxa" w:w="3175"/>
          </w:tcPr>
          <w:p>
            <w:r>
              <w:t>“something is off”</w:t>
            </w:r>
          </w:p>
        </w:tc>
        <w:tc>
          <w:tcPr>
            <w:tcW w:type="dxa" w:w="1077"/>
          </w:tcPr>
          <w:p>
            <w:r>
              <w:rPr>
                <w:color w:val="1E7A3C"/>
              </w:rPr>
              <w:t>Changed</w:t>
            </w:r>
          </w:p>
        </w:tc>
        <w:tc>
          <w:tcPr>
            <w:tcW w:type="dxa" w:w="7597"/>
          </w:tcPr>
          <w:p>
            <w:r>
              <w:t>You were right; there were two errors. The text credited the pipeline with YOLO12m’s 20-point recall gain, but the pipeline uses YOLO11m, whose recall rises only from 0.503 to 0.576. The caption also called them “the two strongest detectors” although YOLO12m ranks sixth by F1 in that table; they are the top two by F0.5. Both fixed.</w:t>
            </w:r>
          </w:p>
        </w:tc>
      </w:tr>
      <w:tr>
        <w:tc>
          <w:tcPr>
            <w:tcW w:type="dxa" w:w="510"/>
          </w:tcPr>
          <w:p>
            <w:r>
              <w:t>15</w:t>
            </w:r>
          </w:p>
        </w:tc>
        <w:tc>
          <w:tcPr>
            <w:tcW w:type="dxa" w:w="1928"/>
          </w:tcPr>
          <w:p>
            <w:r>
              <w:t>Table 10 caption</w:t>
            </w:r>
          </w:p>
        </w:tc>
        <w:tc>
          <w:tcPr>
            <w:tcW w:type="dxa" w:w="3175"/>
          </w:tcPr>
          <w:p>
            <w:r>
              <w:t>“trade” → “trade-off”</w:t>
            </w:r>
          </w:p>
        </w:tc>
        <w:tc>
          <w:tcPr>
            <w:tcW w:type="dxa" w:w="1077"/>
          </w:tcPr>
          <w:p>
            <w:r>
              <w:rPr>
                <w:color w:val="1E7A3C"/>
              </w:rPr>
              <w:t>Changed</w:t>
            </w:r>
          </w:p>
        </w:tc>
        <w:tc>
          <w:tcPr>
            <w:tcW w:type="dxa" w:w="7597"/>
          </w:tcPr>
          <w:p>
            <w:r>
              <w:t>Corrected.</w:t>
            </w:r>
          </w:p>
        </w:tc>
      </w:tr>
      <w:tr>
        <w:tc>
          <w:tcPr>
            <w:tcW w:type="dxa" w:w="510"/>
          </w:tcPr>
          <w:p>
            <w:r>
              <w:t>16</w:t>
            </w:r>
          </w:p>
        </w:tc>
        <w:tc>
          <w:tcPr>
            <w:tcW w:type="dxa" w:w="1928"/>
          </w:tcPr>
          <w:p>
            <w:r>
              <w:t>Section 4.6, l. 662</w:t>
            </w:r>
          </w:p>
        </w:tc>
        <w:tc>
          <w:tcPr>
            <w:tcW w:type="dxa" w:w="3175"/>
          </w:tcPr>
          <w:p>
            <w:r>
              <w:t>2 frames at 0.85 vs 10–20 frames at 0.45; explore m too</w:t>
            </w:r>
          </w:p>
        </w:tc>
        <w:tc>
          <w:tcPr>
            <w:tcW w:type="dxa" w:w="1077"/>
          </w:tcPr>
          <w:p>
            <w:r>
              <w:rPr>
                <w:color w:val="1E7A3C"/>
              </w:rPr>
              <w:t>Changed</w:t>
            </w:r>
          </w:p>
        </w:tc>
        <w:tc>
          <w:tcPr>
            <w:tcW w:type="dxa" w:w="7597"/>
          </w:tcPr>
          <w:p>
            <w:r>
              <w:t>Done. Two frames at 0.85 accepts nothing, since no held-out track reaches it. Ten or twenty frames at 0.45 give MAE 3.00 and 2.62, against 2.38. Re-fitting for 1 to 10 frames selects c = 0.65 every time, with held-out MAE 2.23–2.62, all within the published rule’s 95% interval. For m: once c = 0.65, m barely matters (held-out MAE 2.31–2.38 for m from 2 to 20). Added to Section 4.6.</w:t>
            </w:r>
          </w:p>
        </w:tc>
      </w:tr>
      <w:tr>
        <w:tc>
          <w:tcPr>
            <w:tcW w:type="dxa" w:w="510"/>
          </w:tcPr>
          <w:p>
            <w:r>
              <w:t>17</w:t>
            </w:r>
          </w:p>
        </w:tc>
        <w:tc>
          <w:tcPr>
            <w:tcW w:type="dxa" w:w="1928"/>
          </w:tcPr>
          <w:p>
            <w:r>
              <w:t>Section 4.6, ll. 689–698</w:t>
            </w:r>
          </w:p>
        </w:tc>
        <w:tc>
          <w:tcPr>
            <w:tcW w:type="dxa" w:w="3175"/>
          </w:tcPr>
          <w:p>
            <w:r>
              <w:t>Show more of the grid search</w:t>
            </w:r>
          </w:p>
        </w:tc>
        <w:tc>
          <w:tcPr>
            <w:tcW w:type="dxa" w:w="1077"/>
          </w:tcPr>
          <w:p>
            <w:r>
              <w:rPr>
                <w:color w:val="1E7A3C"/>
              </w:rPr>
              <w:t>Changed</w:t>
            </w:r>
          </w:p>
        </w:tc>
        <w:tc>
          <w:tcPr>
            <w:tcW w:type="dxa" w:w="7597"/>
          </w:tcPr>
          <w:p>
            <w:r>
              <w:t>Added a heatmap of the full m × c grid to Section 4.6, on both the training and held-out videos.</w:t>
            </w:r>
          </w:p>
        </w:tc>
      </w:tr>
      <w:tr>
        <w:tc>
          <w:tcPr>
            <w:tcW w:type="dxa" w:w="510"/>
          </w:tcPr>
          <w:p>
            <w:r>
              <w:t>18</w:t>
            </w:r>
          </w:p>
        </w:tc>
        <w:tc>
          <w:tcPr>
            <w:tcW w:type="dxa" w:w="1928"/>
          </w:tcPr>
          <w:p>
            <w:r>
              <w:t>Funding</w:t>
            </w:r>
          </w:p>
        </w:tc>
        <w:tc>
          <w:tcPr>
            <w:tcW w:type="dxa" w:w="3175"/>
          </w:tcPr>
          <w:p>
            <w:r>
              <w:t>Federal Aid Wildlife Restoration Fund W87R</w:t>
            </w:r>
          </w:p>
        </w:tc>
        <w:tc>
          <w:tcPr>
            <w:tcW w:type="dxa" w:w="1077"/>
          </w:tcPr>
          <w:p>
            <w:r>
              <w:rPr>
                <w:color w:val="1E7A3C"/>
              </w:rPr>
              <w:t>Changed</w:t>
            </w:r>
          </w:p>
        </w:tc>
        <w:tc>
          <w:tcPr>
            <w:tcW w:type="dxa" w:w="7597"/>
          </w:tcPr>
          <w:p>
            <w:r>
              <w:t>Added: “This research was funded by the Federal Aid Wildlife Restoration Fund, grant number W87R.”</w:t>
            </w:r>
          </w:p>
        </w:tc>
      </w:tr>
      <w:tr>
        <w:tc>
          <w:tcPr>
            <w:tcW w:type="dxa" w:w="510"/>
          </w:tcPr>
          <w:p>
            <w:r>
              <w:t>19</w:t>
            </w:r>
          </w:p>
        </w:tc>
        <w:tc>
          <w:tcPr>
            <w:tcW w:type="dxa" w:w="1928"/>
          </w:tcPr>
          <w:p>
            <w:r>
              <w:t>Acknowledgments</w:t>
            </w:r>
          </w:p>
        </w:tc>
        <w:tc>
          <w:tcPr>
            <w:tcW w:type="dxa" w:w="3175"/>
          </w:tcPr>
          <w:p>
            <w:r>
              <w:t>Illinois Department of Natural Resources</w:t>
            </w:r>
          </w:p>
        </w:tc>
        <w:tc>
          <w:tcPr>
            <w:tcW w:type="dxa" w:w="1077"/>
          </w:tcPr>
          <w:p>
            <w:r>
              <w:rPr>
                <w:color w:val="1E7A3C"/>
              </w:rPr>
              <w:t>Changed</w:t>
            </w:r>
          </w:p>
        </w:tc>
        <w:tc>
          <w:tcPr>
            <w:tcW w:type="dxa" w:w="7597"/>
          </w:tcPr>
          <w:p>
            <w:r>
              <w:t>Added: “We thank the Illinois Department of Natural Resources.”</w:t>
            </w:r>
          </w:p>
        </w:tc>
      </w:tr>
    </w:tbl>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