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63</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63</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75</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75</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75</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75</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75</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75</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75</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75</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75</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75</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76</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76</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76</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76</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76</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76</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76</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76</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76</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77</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77</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77</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77</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77</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77</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77</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77</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77</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77</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77</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78</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78</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78</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78</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78</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78</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78</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78</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78</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78</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79</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79</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79</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79</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79</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79</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79</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79</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80</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80</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80</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80</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80</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80</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80</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80</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81</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81</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81</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81</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81</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81</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81</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81</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81</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81</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81</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81</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82</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82</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82</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83</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pPr>
        <w:pStyle w:val="Heading1"/>
        <w:keepNext/>
        <w:pageBreakBefore/>
      </w:pPr>
      <w:r>
        <w:t>Füüsiline disain</w:t>
      </w:r>
    </w:p>
    <w:p>
      <w:pPr>
        <w:keepLines/>
      </w:pPr>
      <w:r>
        <w:t>Selles peatükis kirjeldan nutitelefonide e-poe kaupade funktsionaalse allsüsteemi jaoks vajalike registrite baastabeleid PostgreSQLis. Lähtusin projekti kontseptuaalsest andmemudelist ja andmebaasioperatsioonide lepingutest OP1–OP10. Füüsiline mudel hõlmab kaupade, isikute, töötajate, klientide ja klassifikaatorite registrit. Erki Eessaare 2026. aasta ülesande 2 juhendi §2.1 neljanda võimaluse järgi lõin tabelid esmalt kohalikus PostgreSQLi andmebaasis ning koostasin seejärel nende tegeliku struktuuri põhjal registridiagrammid. Tabelite ja võtmete kontrollimiseks saab kasutada DBeaverit; siin esitatud joonised genereerisin PostgreSQLi süsteemikataloogi andmetest Graphviziga. Algset Enterprise Architecti faili ma nende jooniste loomiseks ei muutnud.</w:t>
      </w:r>
    </w:p>
    <w:p>
      <w:pPr>
        <w:keepLines/>
      </w:pPr>
      <w:r>
        <w:t>Ülesandes 2 keskendun tabelitele, veergudele, primaar- ja alternatiivvõtmetele ning välisvõtmetele. Väärtusi täiendavalt piiravad CHECK-kitsendused ja käsitsi loodavad indeksid kuuluvad ülesandesse 3. Kooliserveris käivitatav lõplik andmekirjelduskeele kood kuulub ülesandesse 4. Seega kujutavad selle peatüki joonised kontrollitud kohalikku füüsilise disaini mustandit, mitte valmis rakendust ega kooliserveri andmebaasi.</w:t>
      </w:r>
    </w:p>
    <w:p>
      <w:pPr>
        <w:pStyle w:val="Heading2"/>
        <w:keepNext/>
      </w:pPr>
      <w:r>
        <w:t>Kaupade funktsionaalse allsüsteemi vajatavate registrite füüsiline disain</w:t>
      </w:r>
    </w:p>
    <w:p>
      <w:pPr>
        <w:keepLines/>
      </w:pPr>
      <w:r>
        <w:t>Registridiagrammid on jaotatud nii, et iga tabeli veerud ja kitsendused on näha täpselt ühel joonisel. Sinise päisega tabel on selle joonise registrisse kuuluv täielikult kirjeldatud tabel. Hall kast näitab teise registri tabelit üksnes välisvõtme seose mõistmiseks. Joonistel on märgitud veergude tüübid, kohustuslikkus, vaikeväärtused ja nimelised PK-, UK- ning FK-kitsendused; FK juures tähendavad D ja U vastavalt kustutamisel ning muutmisel tehtavat tegevust. Ühe registri jaoks võib olla mitu joonist, et need oleksid püstisel A4 lehel loetavad.</w:t>
      </w:r>
    </w:p>
    <w:p>
      <w:pPr>
        <w:keepLines/>
      </w:pPr>
      <w:r>
        <w:t>Klassifikaatorite registris on iga liigi jaoks eraldi tabel. Joonisel 11 on isiku, töötaja ja kliendi seisundi liigid. Need määravad, millist seisundit saab vastava isiku või tema rolli juures registreerida.</w:t>
      </w:r>
    </w:p>
    <w:p>
      <w:pPr>
        <w:keepNext/>
        <w:keepLines/>
        <w:spacing w:before="60" w:after="0"/>
        <w:jc w:val="center"/>
      </w:pPr>
      <w:r>
        <w:drawing>
          <wp:inline xmlns:a="http://schemas.openxmlformats.org/drawingml/2006/main" xmlns:pic="http://schemas.openxmlformats.org/drawingml/2006/picture">
            <wp:extent cx="4318000" cy="6802829"/>
            <wp:docPr id="517825927" name="Picture 517825927" descr="Isiku, töötaja ja kliendi seisundiliikide tabelid"/>
            <wp:cNvGraphicFramePr>
              <a:graphicFrameLocks noChangeAspect="1"/>
            </wp:cNvGraphicFramePr>
            <a:graphic>
              <a:graphicData uri="http://schemas.openxmlformats.org/drawingml/2006/picture">
                <pic:pic>
                  <pic:nvPicPr>
                    <pic:cNvPr id="0" name="u2-01a-klassifikaatorid-isikuseisundid.png"/>
                    <pic:cNvPicPr/>
                  </pic:nvPicPr>
                  <pic:blipFill>
                    <a:blip r:embed="rId55"/>
                    <a:stretch>
                      <a:fillRect/>
                    </a:stretch>
                  </pic:blipFill>
                  <pic:spPr>
                    <a:xfrm>
                      <a:off x="0" y="0"/>
                      <a:ext cx="4318000" cy="6802829"/>
                    </a:xfrm>
                    <a:prstGeom prst="rect"/>
                  </pic:spPr>
                </pic:pic>
              </a:graphicData>
            </a:graphic>
          </wp:inline>
        </w:drawing>
      </w:r>
    </w:p>
    <w:p>
      <w:pPr>
        <w:pStyle w:val="Caption"/>
        <w:keepLines/>
        <w:spacing w:before="40" w:after="160"/>
        <w:jc w:val="center"/>
      </w:pPr>
      <w:r>
        <w:t>Joonis 11. Klassifikaatorite registri isiku, töötaja ja kliendi seisundiliikide füüsilise disaini diagramm.</w:t>
      </w:r>
    </w:p>
    <w:p>
      <w:pPr>
        <w:keepLines/>
      </w:pPr>
      <w:r>
        <w:t>Joonisel 12 on kauba seisundi liik, töötaja roll ja riik. Kauba seisundi kood 1 tähendab lähteprojekti järgi olekut „Ootel“, kuid tabelite seostes kasutatakse surrogaatvõtit. Seetõttu peab tulevane kauba registreerimise loogika leidma seisundi koodi järgi ega tohi eeldada, et seisundi ID on samuti 1.</w:t>
      </w:r>
    </w:p>
    <w:p>
      <w:pPr>
        <w:keepNext/>
        <w:keepLines/>
        <w:spacing w:before="60" w:after="0"/>
        <w:jc w:val="center"/>
      </w:pPr>
      <w:r>
        <w:drawing>
          <wp:inline xmlns:a="http://schemas.openxmlformats.org/drawingml/2006/main" xmlns:pic="http://schemas.openxmlformats.org/drawingml/2006/picture">
            <wp:extent cx="4292600" cy="7026469"/>
            <wp:docPr id="517825928" name="Picture 517825928" descr="Kauba seisundi, töötaja rolli ja riigi tabelid"/>
            <wp:cNvGraphicFramePr>
              <a:graphicFrameLocks noChangeAspect="1"/>
            </wp:cNvGraphicFramePr>
            <a:graphic>
              <a:graphicData uri="http://schemas.openxmlformats.org/drawingml/2006/picture">
                <pic:pic>
                  <pic:nvPicPr>
                    <pic:cNvPr id="0" name="u2-01b-klassifikaatorid-yldised.png"/>
                    <pic:cNvPicPr/>
                  </pic:nvPicPr>
                  <pic:blipFill>
                    <a:blip r:embed="rId56"/>
                    <a:stretch>
                      <a:fillRect/>
                    </a:stretch>
                  </pic:blipFill>
                  <pic:spPr>
                    <a:xfrm>
                      <a:off x="0" y="0"/>
                      <a:ext cx="4292600" cy="7026469"/>
                    </a:xfrm>
                    <a:prstGeom prst="rect"/>
                  </pic:spPr>
                </pic:pic>
              </a:graphicData>
            </a:graphic>
          </wp:inline>
        </w:drawing>
      </w:r>
    </w:p>
    <w:p>
      <w:pPr>
        <w:pStyle w:val="Caption"/>
        <w:keepLines/>
        <w:spacing w:before="40" w:after="160"/>
        <w:jc w:val="center"/>
      </w:pPr>
      <w:r>
        <w:t>Joonis 12. Klassifikaatorite registri kauba seisundi, töötaja rolli ja riigi füüsilise disaini diagramm.</w:t>
      </w:r>
    </w:p>
    <w:p>
      <w:pPr>
        <w:keepLines/>
      </w:pPr>
      <w:r>
        <w:t>Joonisel 13 on ekraaniga seotud klassifikaatorid: diagonaal, ekraani resolutsioon ja kaamera. Kaamera tabelit kasutatakse nii eesmise kui ka tagumise kaamera jaoks. Nutitelefoni tabelis on nende kahe rolli jaoks eraldi välisvõtmed.</w:t>
      </w:r>
    </w:p>
    <w:p>
      <w:pPr>
        <w:keepNext/>
        <w:keepLines/>
        <w:spacing w:before="60" w:after="0"/>
        <w:jc w:val="center"/>
      </w:pPr>
      <w:r>
        <w:drawing>
          <wp:inline xmlns:a="http://schemas.openxmlformats.org/drawingml/2006/main" xmlns:pic="http://schemas.openxmlformats.org/drawingml/2006/picture">
            <wp:extent cx="4381500" cy="7472892"/>
            <wp:docPr id="517825929" name="Picture 517825929" descr="Diagonaali, ekraani resolutsiooni ja kaamera tabelid"/>
            <wp:cNvGraphicFramePr>
              <a:graphicFrameLocks noChangeAspect="1"/>
            </wp:cNvGraphicFramePr>
            <a:graphic>
              <a:graphicData uri="http://schemas.openxmlformats.org/drawingml/2006/picture">
                <pic:pic>
                  <pic:nvPicPr>
                    <pic:cNvPr id="0" name="u2-01c-klassifikaatorid-ekraan.png"/>
                    <pic:cNvPicPr/>
                  </pic:nvPicPr>
                  <pic:blipFill>
                    <a:blip r:embed="rId57"/>
                    <a:stretch>
                      <a:fillRect/>
                    </a:stretch>
                  </pic:blipFill>
                  <pic:spPr>
                    <a:xfrm>
                      <a:off x="0" y="0"/>
                      <a:ext cx="4381500" cy="7472892"/>
                    </a:xfrm>
                    <a:prstGeom prst="rect"/>
                  </pic:spPr>
                </pic:pic>
              </a:graphicData>
            </a:graphic>
          </wp:inline>
        </w:drawing>
      </w:r>
    </w:p>
    <w:p>
      <w:pPr>
        <w:pStyle w:val="Caption"/>
        <w:keepLines/>
        <w:spacing w:before="40" w:after="160"/>
        <w:jc w:val="center"/>
      </w:pPr>
      <w:r>
        <w:t>Joonis 13. Klassifikaatorite registri ekraani ja kaamera näitajate füüsilise disaini diagramm.</w:t>
      </w:r>
    </w:p>
    <w:p>
      <w:pPr>
        <w:keepLines/>
      </w:pPr>
      <w:r>
        <w:t>Joonisel 14 on protsessori, sisemälu ja brändi tabel. Nende väärtused valitakse nutitelefoni või kauba registreerimisel. Tabelites on oma primaarvõti ning sisulist väärtust eristav unikaalne kood.</w:t>
      </w:r>
    </w:p>
    <w:p>
      <w:pPr>
        <w:keepNext/>
        <w:keepLines/>
        <w:spacing w:before="60" w:after="0"/>
        <w:jc w:val="center"/>
      </w:pPr>
      <w:r>
        <w:drawing>
          <wp:inline xmlns:a="http://schemas.openxmlformats.org/drawingml/2006/main" xmlns:pic="http://schemas.openxmlformats.org/drawingml/2006/picture">
            <wp:extent cx="3822700" cy="6799294"/>
            <wp:docPr id="517825930" name="Picture 517825930" descr="Protsessori, sisemälu ja brändi tabelid"/>
            <wp:cNvGraphicFramePr>
              <a:graphicFrameLocks noChangeAspect="1"/>
            </wp:cNvGraphicFramePr>
            <a:graphic>
              <a:graphicData uri="http://schemas.openxmlformats.org/drawingml/2006/picture">
                <pic:pic>
                  <pic:nvPicPr>
                    <pic:cNvPr id="0" name="u2-01d-klassifikaatorid-tehnika.png"/>
                    <pic:cNvPicPr/>
                  </pic:nvPicPr>
                  <pic:blipFill>
                    <a:blip r:embed="rId58"/>
                    <a:stretch>
                      <a:fillRect/>
                    </a:stretch>
                  </pic:blipFill>
                  <pic:spPr>
                    <a:xfrm>
                      <a:off x="0" y="0"/>
                      <a:ext cx="3822700" cy="6799294"/>
                    </a:xfrm>
                    <a:prstGeom prst="rect"/>
                  </pic:spPr>
                </pic:pic>
              </a:graphicData>
            </a:graphic>
          </wp:inline>
        </w:drawing>
      </w:r>
    </w:p>
    <w:p>
      <w:pPr>
        <w:pStyle w:val="Caption"/>
        <w:keepLines/>
        <w:spacing w:before="40" w:after="160"/>
        <w:jc w:val="center"/>
      </w:pPr>
      <w:r>
        <w:t>Joonis 14. Klassifikaatorite registri protsessori, sisemälu ja brändi füüsilise disaini diagramm.</w:t>
      </w:r>
    </w:p>
    <w:p>
      <w:pPr>
        <w:keepLines/>
      </w:pPr>
      <w:r>
        <w:t>Joonisel 15 on värv ning kauba kategooria tüüp ja kategooria. Kategooria kuulub ühte tüüpi, mistõttu kategooria tabelis on välisvõti tüübi tabelile. Üks kaup võib kuuluda mitmesse kategooriasse; kauba ja kategooria seost kirjeldab eraldi tabel joonisel 21.</w:t>
      </w:r>
    </w:p>
    <w:p>
      <w:pPr>
        <w:keepNext/>
        <w:keepLines/>
        <w:spacing w:before="60" w:after="0"/>
        <w:jc w:val="center"/>
      </w:pPr>
      <w:r>
        <w:drawing>
          <wp:inline xmlns:a="http://schemas.openxmlformats.org/drawingml/2006/main" xmlns:pic="http://schemas.openxmlformats.org/drawingml/2006/picture">
            <wp:extent cx="5410200" cy="7264429"/>
            <wp:docPr id="517825931" name="Picture 517825931" descr="Värvi ning kauba kategooria tüübi ja kategooria tabelid"/>
            <wp:cNvGraphicFramePr>
              <a:graphicFrameLocks noChangeAspect="1"/>
            </wp:cNvGraphicFramePr>
            <a:graphic>
              <a:graphicData uri="http://schemas.openxmlformats.org/drawingml/2006/picture">
                <pic:pic>
                  <pic:nvPicPr>
                    <pic:cNvPr id="0" name="u2-01e-klassifikaatorid-kategooriad.png"/>
                    <pic:cNvPicPr/>
                  </pic:nvPicPr>
                  <pic:blipFill>
                    <a:blip r:embed="rId59"/>
                    <a:stretch>
                      <a:fillRect/>
                    </a:stretch>
                  </pic:blipFill>
                  <pic:spPr>
                    <a:xfrm>
                      <a:off x="0" y="0"/>
                      <a:ext cx="5410200" cy="7264429"/>
                    </a:xfrm>
                    <a:prstGeom prst="rect"/>
                  </pic:spPr>
                </pic:pic>
              </a:graphicData>
            </a:graphic>
          </wp:inline>
        </w:drawing>
      </w:r>
    </w:p>
    <w:p>
      <w:pPr>
        <w:pStyle w:val="Caption"/>
        <w:keepLines/>
        <w:spacing w:before="40" w:after="160"/>
        <w:jc w:val="center"/>
      </w:pPr>
      <w:r>
        <w:t>Joonis 15. Klassifikaatorite registri värvi ja kauba kategooriate füüsilise disaini diagramm.</w:t>
      </w:r>
    </w:p>
    <w:p>
      <w:pPr>
        <w:keepLines/>
      </w:pPr>
      <w:r>
        <w:t xml:space="preserve">Isikute registri tabelid on joonisel 16. Tabelis </w:t>
      </w:r>
      <w:r>
        <w:rPr>
          <w:rFonts w:ascii="Courier New" w:hAnsi="Courier New"/>
          <w:sz w:val="19"/>
        </w:rPr>
        <w:t>isik</w:t>
      </w:r>
      <w:r>
        <w:t xml:space="preserve"> on inimese põhiandmed ning unikaalne e-posti aadress, mida saab kasutada kasutajanimena. </w:t>
      </w:r>
      <w:r>
        <w:rPr>
          <w:rFonts w:ascii="Courier New" w:hAnsi="Courier New"/>
          <w:sz w:val="19"/>
        </w:rPr>
        <w:t>kasutajakonto</w:t>
      </w:r>
      <w:r>
        <w:t xml:space="preserve"> viitab samale isikule ja sisaldab kohta parooliräsi jaoks. Ees- ja perenimi on eraldi valikulised väljad, sest kõigi inimeste nimed ei jagune ühtemoodi; vähemalt ühe nimeosa olemasolu piirang lisatakse ülesandes 3.</w:t>
      </w:r>
    </w:p>
    <w:p>
      <w:pPr>
        <w:keepNext/>
        <w:keepLines/>
        <w:spacing w:before="60" w:after="0"/>
        <w:jc w:val="center"/>
      </w:pPr>
      <w:r>
        <w:drawing>
          <wp:inline xmlns:a="http://schemas.openxmlformats.org/drawingml/2006/main" xmlns:pic="http://schemas.openxmlformats.org/drawingml/2006/picture">
            <wp:extent cx="5397500" cy="7529695"/>
            <wp:docPr id="517825932" name="Picture 517825932" descr="Isiku ja kasutajakonto tabelid"/>
            <wp:cNvGraphicFramePr>
              <a:graphicFrameLocks noChangeAspect="1"/>
            </wp:cNvGraphicFramePr>
            <a:graphic>
              <a:graphicData uri="http://schemas.openxmlformats.org/drawingml/2006/picture">
                <pic:pic>
                  <pic:nvPicPr>
                    <pic:cNvPr id="0" name="u2-02-isikud.png"/>
                    <pic:cNvPicPr/>
                  </pic:nvPicPr>
                  <pic:blipFill>
                    <a:blip r:embed="rId60"/>
                    <a:stretch>
                      <a:fillRect/>
                    </a:stretch>
                  </pic:blipFill>
                  <pic:spPr>
                    <a:xfrm>
                      <a:off x="0" y="0"/>
                      <a:ext cx="5397500" cy="7529695"/>
                    </a:xfrm>
                    <a:prstGeom prst="rect"/>
                  </pic:spPr>
                </pic:pic>
              </a:graphicData>
            </a:graphic>
          </wp:inline>
        </w:drawing>
      </w:r>
    </w:p>
    <w:p>
      <w:pPr>
        <w:pStyle w:val="Caption"/>
        <w:keepLines/>
        <w:spacing w:before="40" w:after="160"/>
        <w:jc w:val="center"/>
      </w:pPr>
      <w:r>
        <w:t>Joonis 16. Isikute registri füüsilise disaini diagramm.</w:t>
      </w:r>
    </w:p>
    <w:p>
      <w:pPr>
        <w:keepLines/>
      </w:pPr>
      <w:r>
        <w:t xml:space="preserve">Joonisel 17 on töötajate register. </w:t>
      </w:r>
      <w:r>
        <w:rPr>
          <w:rFonts w:ascii="Courier New" w:hAnsi="Courier New"/>
          <w:sz w:val="19"/>
        </w:rPr>
        <w:t>tootaja</w:t>
      </w:r>
      <w:r>
        <w:t xml:space="preserve"> viitab isikule ning töötaja seisundile. Tabel </w:t>
      </w:r>
      <w:r>
        <w:rPr>
          <w:rFonts w:ascii="Courier New" w:hAnsi="Courier New"/>
          <w:sz w:val="19"/>
        </w:rPr>
        <w:t>tootaja_rolli_omamine</w:t>
      </w:r>
      <w:r>
        <w:t xml:space="preserve"> seob töötaja rolliga kindlal ajavahemikul. Avatud perioodi lõpp märgitakse PostgreSQLi väärtusega </w:t>
      </w:r>
      <w:r>
        <w:rPr>
          <w:rFonts w:ascii="Courier New" w:hAnsi="Courier New"/>
          <w:sz w:val="19"/>
        </w:rPr>
        <w:t>infinity</w:t>
      </w:r>
      <w:r>
        <w:t>. Rolli kehtivuse ja ajavahemiku sisulised kontrollid tuleb lisada hiljem.</w:t>
      </w:r>
    </w:p>
    <w:p>
      <w:pPr>
        <w:keepNext/>
        <w:keepLines/>
        <w:spacing w:before="60" w:after="0"/>
        <w:jc w:val="center"/>
      </w:pPr>
      <w:r>
        <w:drawing>
          <wp:inline xmlns:a="http://schemas.openxmlformats.org/drawingml/2006/main" xmlns:pic="http://schemas.openxmlformats.org/drawingml/2006/picture">
            <wp:extent cx="5588000" cy="6300895"/>
            <wp:docPr id="517825933" name="Picture 517825933" descr="Töötaja ja töötaja rolli omamise tabelid"/>
            <wp:cNvGraphicFramePr>
              <a:graphicFrameLocks noChangeAspect="1"/>
            </wp:cNvGraphicFramePr>
            <a:graphic>
              <a:graphicData uri="http://schemas.openxmlformats.org/drawingml/2006/picture">
                <pic:pic>
                  <pic:nvPicPr>
                    <pic:cNvPr id="0" name="u2-03-tootajad.png"/>
                    <pic:cNvPicPr/>
                  </pic:nvPicPr>
                  <pic:blipFill>
                    <a:blip r:embed="rId61"/>
                    <a:stretch>
                      <a:fillRect/>
                    </a:stretch>
                  </pic:blipFill>
                  <pic:spPr>
                    <a:xfrm>
                      <a:off x="0" y="0"/>
                      <a:ext cx="5588000" cy="6300895"/>
                    </a:xfrm>
                    <a:prstGeom prst="rect"/>
                  </pic:spPr>
                </pic:pic>
              </a:graphicData>
            </a:graphic>
          </wp:inline>
        </w:drawing>
      </w:r>
    </w:p>
    <w:p>
      <w:pPr>
        <w:pStyle w:val="Caption"/>
        <w:keepLines/>
        <w:spacing w:before="40" w:after="160"/>
        <w:jc w:val="center"/>
      </w:pPr>
      <w:r>
        <w:t>Joonis 17. Töötajate registri füüsilise disaini diagramm.</w:t>
      </w:r>
    </w:p>
    <w:p>
      <w:pPr>
        <w:keepLines/>
      </w:pPr>
      <w:r>
        <w:t>Joonisel 18 on klientide register. Klient on isikuga seotud alamtüüp ning tema juures talletatakse kliendi seisund ja teavitamise nõusolek. Nõusoleku vaikimisi väärtus on väär.</w:t>
      </w:r>
    </w:p>
    <w:p>
      <w:pPr>
        <w:keepNext/>
        <w:keepLines/>
        <w:spacing w:before="60" w:after="0"/>
        <w:jc w:val="center"/>
      </w:pPr>
      <w:r>
        <w:drawing>
          <wp:inline xmlns:a="http://schemas.openxmlformats.org/drawingml/2006/main" xmlns:pic="http://schemas.openxmlformats.org/drawingml/2006/picture">
            <wp:extent cx="5422900" cy="3686353"/>
            <wp:docPr id="517825934" name="Picture 517825934" descr="Kliendi tabel koos otseste seostega"/>
            <wp:cNvGraphicFramePr>
              <a:graphicFrameLocks noChangeAspect="1"/>
            </wp:cNvGraphicFramePr>
            <a:graphic>
              <a:graphicData uri="http://schemas.openxmlformats.org/drawingml/2006/picture">
                <pic:pic>
                  <pic:nvPicPr>
                    <pic:cNvPr id="0" name="u2-04-kliendid.png"/>
                    <pic:cNvPicPr/>
                  </pic:nvPicPr>
                  <pic:blipFill>
                    <a:blip r:embed="rId62"/>
                    <a:stretch>
                      <a:fillRect/>
                    </a:stretch>
                  </pic:blipFill>
                  <pic:spPr>
                    <a:xfrm>
                      <a:off x="0" y="0"/>
                      <a:ext cx="5422900" cy="3686353"/>
                    </a:xfrm>
                    <a:prstGeom prst="rect"/>
                  </pic:spPr>
                </pic:pic>
              </a:graphicData>
            </a:graphic>
          </wp:inline>
        </w:drawing>
      </w:r>
    </w:p>
    <w:p>
      <w:pPr>
        <w:pStyle w:val="Caption"/>
        <w:keepLines/>
        <w:spacing w:before="40" w:after="160"/>
        <w:jc w:val="center"/>
      </w:pPr>
      <w:r>
        <w:t>Joonis 18. Klientide registri füüsilise disaini diagramm.</w:t>
      </w:r>
    </w:p>
    <w:p>
      <w:pPr>
        <w:keepLines/>
      </w:pPr>
      <w:r>
        <w:t xml:space="preserve">Kaupade registri põhitabel on joonisel 19. </w:t>
      </w:r>
      <w:r>
        <w:rPr>
          <w:rFonts w:ascii="Courier New" w:hAnsi="Courier New"/>
          <w:sz w:val="19"/>
        </w:rPr>
        <w:t>kaup</w:t>
      </w:r>
      <w:r>
        <w:t xml:space="preserve"> sisaldab unikaalset kaubakoodi, nimetust, hinda, kirjeldust, pildi aadressi ning registreerimise ja viimase muutmise aega. Kaup viitab seisundile ja brändile. Kaks eraldi töötaja välisvõtit näitavad, kes kauba registreeris ja kes seda viimati muutis. Registreerija väärtusele ei anta vaikeväärtust, sest see sõltub tegelikust sisse loginud töötajast.</w:t>
      </w:r>
    </w:p>
    <w:p>
      <w:pPr>
        <w:keepNext/>
        <w:keepLines/>
        <w:spacing w:before="60" w:after="0"/>
        <w:jc w:val="center"/>
      </w:pPr>
      <w:r>
        <w:drawing>
          <wp:inline xmlns:a="http://schemas.openxmlformats.org/drawingml/2006/main" xmlns:pic="http://schemas.openxmlformats.org/drawingml/2006/picture">
            <wp:extent cx="5486400" cy="6986016"/>
            <wp:docPr id="517825935" name="Picture 517825935" descr="Kauba tabel koos seisundi, brändi ja töötaja rollidega"/>
            <wp:cNvGraphicFramePr>
              <a:graphicFrameLocks noChangeAspect="1"/>
            </wp:cNvGraphicFramePr>
            <a:graphic>
              <a:graphicData uri="http://schemas.openxmlformats.org/drawingml/2006/picture">
                <pic:pic>
                  <pic:nvPicPr>
                    <pic:cNvPr id="0" name="u2-05a-kaubad.png"/>
                    <pic:cNvPicPr/>
                  </pic:nvPicPr>
                  <pic:blipFill>
                    <a:blip r:embed="rId63"/>
                    <a:stretch>
                      <a:fillRect/>
                    </a:stretch>
                  </pic:blipFill>
                  <pic:spPr>
                    <a:xfrm>
                      <a:off x="0" y="0"/>
                      <a:ext cx="5486400" cy="6986016"/>
                    </a:xfrm>
                    <a:prstGeom prst="rect"/>
                  </pic:spPr>
                </pic:pic>
              </a:graphicData>
            </a:graphic>
          </wp:inline>
        </w:drawing>
      </w:r>
    </w:p>
    <w:p>
      <w:pPr>
        <w:pStyle w:val="Caption"/>
        <w:keepLines/>
        <w:spacing w:before="40" w:after="160"/>
        <w:jc w:val="center"/>
      </w:pPr>
      <w:r>
        <w:t>Joonis 19. Kaupade registri kauba põhitabeli füüsilise disaini diagramm.</w:t>
      </w:r>
    </w:p>
    <w:p>
      <w:pPr>
        <w:keepLines/>
      </w:pPr>
      <w:r>
        <w:t xml:space="preserve">Joonisel 20 on kauba alamtabel </w:t>
      </w:r>
      <w:r>
        <w:rPr>
          <w:rFonts w:ascii="Courier New" w:hAnsi="Courier New"/>
          <w:sz w:val="19"/>
        </w:rPr>
        <w:t>nutitelefon</w:t>
      </w:r>
      <w:r>
        <w:t xml:space="preserve">. Selle primaarvõti on ühtlasi välisvõti tabelile </w:t>
      </w:r>
      <w:r>
        <w:rPr>
          <w:rFonts w:ascii="Courier New" w:hAnsi="Courier New"/>
          <w:sz w:val="19"/>
        </w:rPr>
        <w:t>kaup</w:t>
      </w:r>
      <w:r>
        <w:t>, nii et telefoni andmed kuuluvad ühele kaubale. Nutitelefoni näitajad viitavad eraldi klassifikaatoritabelitele. Eesmise ja tagumise kaamera välisvõtmed on eraldi, sest sama kaameraliik võib täita eri rolle.</w:t>
      </w:r>
    </w:p>
    <w:p>
      <w:pPr>
        <w:keepNext/>
        <w:keepLines/>
        <w:spacing w:before="60" w:after="0"/>
        <w:jc w:val="center"/>
      </w:pPr>
      <w:r>
        <w:drawing>
          <wp:inline xmlns:a="http://schemas.openxmlformats.org/drawingml/2006/main" xmlns:pic="http://schemas.openxmlformats.org/drawingml/2006/picture">
            <wp:extent cx="5183222" cy="7687168"/>
            <wp:docPr id="517825936" name="Picture 517825936" descr="Nutitelefoni tabel koos näitajate välisvõtmetega"/>
            <wp:cNvGraphicFramePr>
              <a:graphicFrameLocks noChangeAspect="1"/>
            </wp:cNvGraphicFramePr>
            <a:graphic>
              <a:graphicData uri="http://schemas.openxmlformats.org/drawingml/2006/picture">
                <pic:pic>
                  <pic:nvPicPr>
                    <pic:cNvPr id="0" name="u2-05b-nutitelefon.png"/>
                    <pic:cNvPicPr/>
                  </pic:nvPicPr>
                  <pic:blipFill>
                    <a:blip r:embed="rId64"/>
                    <a:stretch>
                      <a:fillRect/>
                    </a:stretch>
                  </pic:blipFill>
                  <pic:spPr>
                    <a:xfrm>
                      <a:off x="0" y="0"/>
                      <a:ext cx="5183222" cy="7687168"/>
                    </a:xfrm>
                    <a:prstGeom prst="rect"/>
                  </pic:spPr>
                </pic:pic>
              </a:graphicData>
            </a:graphic>
          </wp:inline>
        </w:drawing>
      </w:r>
    </w:p>
    <w:p>
      <w:pPr>
        <w:pStyle w:val="Caption"/>
        <w:keepLines/>
        <w:spacing w:before="40" w:after="160"/>
        <w:jc w:val="center"/>
      </w:pPr>
      <w:r>
        <w:t>Joonis 20. Kaupade registri nutitelefoni füüsilise disaini diagramm.</w:t>
      </w:r>
    </w:p>
    <w:p>
      <w:pPr>
        <w:keepLines/>
      </w:pPr>
      <w:r>
        <w:t xml:space="preserve">Joonisel 21 on kauba kategooriaseos ja variant. </w:t>
      </w:r>
      <w:r>
        <w:rPr>
          <w:rFonts w:ascii="Courier New" w:hAnsi="Courier New"/>
          <w:sz w:val="19"/>
        </w:rPr>
        <w:t>kauba_kategooria_omamine</w:t>
      </w:r>
      <w:r>
        <w:t xml:space="preserve"> tagab oma liitprimaarvõtmega, et sama kauba ja kategooria paar esineb maksimaalselt korra. </w:t>
      </w:r>
      <w:r>
        <w:rPr>
          <w:rFonts w:ascii="Courier New" w:hAnsi="Courier New"/>
          <w:sz w:val="19"/>
        </w:rPr>
        <w:t>kauba_variant</w:t>
      </w:r>
      <w:r>
        <w:t xml:space="preserve"> seob kauba värviga ning sama kauba ja värvi paari kordumise välistab alternatiivvõti. Need tabelid toetavad lähteprojekti lepinguid OP7–OP10.</w:t>
      </w:r>
    </w:p>
    <w:p>
      <w:pPr>
        <w:keepNext/>
        <w:keepLines/>
        <w:spacing w:before="60" w:after="0"/>
        <w:jc w:val="center"/>
      </w:pPr>
      <w:r>
        <w:drawing>
          <wp:inline xmlns:a="http://schemas.openxmlformats.org/drawingml/2006/main" xmlns:pic="http://schemas.openxmlformats.org/drawingml/2006/picture">
            <wp:extent cx="5588000" cy="5661526"/>
            <wp:docPr id="517825937" name="Picture 517825937" descr="Kauba variandi ja kategooriasse kuulumise tabelid"/>
            <wp:cNvGraphicFramePr>
              <a:graphicFrameLocks noChangeAspect="1"/>
            </wp:cNvGraphicFramePr>
            <a:graphic>
              <a:graphicData uri="http://schemas.openxmlformats.org/drawingml/2006/picture">
                <pic:pic>
                  <pic:nvPicPr>
                    <pic:cNvPr id="0" name="u2-05c-kauba-seosed.png"/>
                    <pic:cNvPicPr/>
                  </pic:nvPicPr>
                  <pic:blipFill>
                    <a:blip r:embed="rId65"/>
                    <a:stretch>
                      <a:fillRect/>
                    </a:stretch>
                  </pic:blipFill>
                  <pic:spPr>
                    <a:xfrm>
                      <a:off x="0" y="0"/>
                      <a:ext cx="5588000" cy="5661526"/>
                    </a:xfrm>
                    <a:prstGeom prst="rect"/>
                  </pic:spPr>
                </pic:pic>
              </a:graphicData>
            </a:graphic>
          </wp:inline>
        </w:drawing>
      </w:r>
    </w:p>
    <w:p>
      <w:pPr>
        <w:pStyle w:val="Caption"/>
        <w:keepLines/>
        <w:spacing w:before="40" w:after="160"/>
        <w:jc w:val="center"/>
      </w:pPr>
      <w:r>
        <w:t>Joonis 21. Kaupade registri variandi ja kategooriaseose füüsilise disaini diagramm.</w:t>
      </w:r>
    </w:p>
    <w:p>
      <w:pPr>
        <w:keepLines/>
      </w:pPr>
      <w:r>
        <w:t xml:space="preserve">Kokku on mudelis 24 baastabelit. Kõigil on primaarvõti ning vajalikud tabelitevahelised seosed on jõustatud välisvõtmetega. Kauba kustutamisel eemaldatakse sõltuvad nutitelefoni-, variandi- ja kategooriaseose read </w:t>
      </w:r>
      <w:r>
        <w:rPr>
          <w:rFonts w:ascii="Courier New" w:hAnsi="Courier New"/>
          <w:sz w:val="19"/>
        </w:rPr>
        <w:t>ON DELETE CASCADE</w:t>
      </w:r>
      <w:r>
        <w:t xml:space="preserve"> abil; sama põhimõtet kasutatakse isiku ja tema konto või alamtüüpide seostes. Muudel juhtudel takistab </w:t>
      </w:r>
      <w:r>
        <w:rPr>
          <w:rFonts w:ascii="Courier New" w:hAnsi="Courier New"/>
          <w:sz w:val="19"/>
        </w:rPr>
        <w:t>NO ACTION</w:t>
      </w:r>
      <w:r>
        <w:t xml:space="preserve"> viidatud rea põhjendamatut kustutamist. Tabelite disain võimaldab lähteprojekti OP1–OP10 andmeid hoida, kuid ei jõusta veel kõiki toimingute eeltingimusi. Näiteks ainult Ootel kauba kustutamine, kauba lubatud seisundiüleminekud, aktiivsete klassifikaatorite valik ja muutja õiguste kontroll tuleb lahendada hilisemates usaldatud kirjutamistoimingutes.</w:t>
      </w:r>
    </w:p>
    <w:p w14:paraId="0922F56A" w14:textId="77777777" w:rsidR="002812E7" w:rsidRPr="003B6E34" w:rsidRDefault="002812E7" w:rsidP="002812E7">
      <w:pPr>
        <w:pStyle w:val="Heading1"/>
        <w:pageBreakBefore/>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rPr>
          <w:rFonts w:asciiTheme="minorHAnsi" w:hAnsiTheme="minorHAnsi" w:cstheme="minorHAnsi"/>
          <w:color w:val="0070C0"/>
        </w:rPr>
      </w:pPr>
    </w:p>
    <w:p w14:paraId="6CDF09BC" w14:textId="77777777" w:rsidR="002812E7" w:rsidRPr="003B6E34" w:rsidRDefault="002812E7" w:rsidP="002812E7">
      <w:pPr>
        <w:pStyle w:val="Heading2"/>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14:paraId="4385691C" w14:textId="77777777" w:rsidR="002812E7" w:rsidRPr="003B6E34" w:rsidRDefault="002812E7" w:rsidP="002812E7">
      <w:pPr>
        <w:rPr>
          <w:rFonts w:asciiTheme="minorHAnsi" w:hAnsiTheme="minorHAnsi" w:cstheme="minorHAnsi"/>
          <w:color w:val="0070C0"/>
        </w:rPr>
      </w:pPr>
    </w:p>
    <w:p w14:paraId="701E32A8" w14:textId="77777777" w:rsidR="002812E7" w:rsidRPr="003B6E34" w:rsidRDefault="002812E7" w:rsidP="002812E7">
      <w:pPr>
        <w:pStyle w:val="Heading2"/>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14:paraId="518A4EEA" w14:textId="77777777" w:rsidR="002812E7" w:rsidRPr="003B6E34" w:rsidRDefault="002812E7" w:rsidP="002812E7">
      <w:pPr>
        <w:tabs>
          <w:tab w:val="right" w:pos="3446"/>
        </w:tabs>
        <w:ind w:left="528" w:hanging="528"/>
        <w:rPr>
          <w:rFonts w:asciiTheme="minorHAnsi" w:hAnsiTheme="minorHAnsi" w:cstheme="minorHAnsi"/>
          <w:color w:val="0070C0"/>
          <w:sz w:val="20"/>
        </w:rPr>
      </w:pPr>
    </w:p>
    <w:p w14:paraId="420258D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Tuleb luua ja kasutada vähemalt ühte.</w:t>
      </w:r>
    </w:p>
    <w:p w14:paraId="6F166D1E" w14:textId="77777777" w:rsidR="002812E7" w:rsidRPr="003B6E34" w:rsidRDefault="002812E7" w:rsidP="002812E7">
      <w:pPr>
        <w:pStyle w:val="Heading2"/>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14:paraId="4A650944" w14:textId="77777777" w:rsidR="002812E7" w:rsidRPr="003B6E34" w:rsidRDefault="002812E7" w:rsidP="002812E7">
      <w:pPr>
        <w:rPr>
          <w:rFonts w:asciiTheme="minorHAnsi" w:hAnsiTheme="minorHAnsi" w:cstheme="minorHAnsi"/>
          <w:color w:val="0070C0"/>
        </w:rPr>
      </w:pPr>
    </w:p>
    <w:p w14:paraId="212148CD" w14:textId="77777777" w:rsidR="002812E7" w:rsidRPr="003B6E34" w:rsidRDefault="002812E7" w:rsidP="002812E7">
      <w:pPr>
        <w:rPr>
          <w:rFonts w:asciiTheme="minorHAnsi" w:hAnsiTheme="minorHAnsi" w:cstheme="minorHAnsi"/>
          <w:color w:val="0070C0"/>
        </w:rPr>
      </w:pPr>
      <w:commentRangeStart w:id="141"/>
      <w:r w:rsidRPr="003B6E34">
        <w:rPr>
          <w:rFonts w:asciiTheme="minorHAnsi" w:hAnsiTheme="minorHAnsi" w:cstheme="minorHAnsi"/>
          <w:color w:val="0070C0"/>
        </w:rPr>
        <w:t>Andmebaasis tuleb luua vähemalt seitse tabelit. Surrogaatvõtmete väärtuste genereerimiseks tuleb kasutada arvujada generaatoreid.</w:t>
      </w:r>
      <w:commentRangeEnd w:id="141"/>
      <w:r w:rsidRPr="003B6E34">
        <w:rPr>
          <w:rStyle w:val="CommentReference"/>
          <w:rFonts w:asciiTheme="minorHAnsi" w:hAnsiTheme="minorHAnsi" w:cstheme="minorHAnsi"/>
          <w:color w:val="0070C0"/>
          <w:sz w:val="24"/>
          <w:szCs w:val="24"/>
        </w:rPr>
        <w:commentReference w:id="141"/>
      </w:r>
    </w:p>
    <w:p w14:paraId="14F2A4CF" w14:textId="77777777" w:rsidR="002812E7" w:rsidRPr="003B6E34" w:rsidRDefault="002812E7" w:rsidP="002812E7">
      <w:pPr>
        <w:rPr>
          <w:rFonts w:asciiTheme="minorHAnsi" w:hAnsiTheme="minorHAnsi" w:cstheme="minorHAnsi"/>
          <w:color w:val="0070C0"/>
        </w:rPr>
      </w:pPr>
    </w:p>
    <w:p w14:paraId="3BA965DA" w14:textId="77777777" w:rsidR="002812E7" w:rsidRPr="003B6E34" w:rsidRDefault="002812E7" w:rsidP="002812E7">
      <w:pPr>
        <w:pStyle w:val="Heading2"/>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14:paraId="6CB52F10" w14:textId="77777777" w:rsidR="002812E7" w:rsidRPr="003B6E34" w:rsidRDefault="002812E7" w:rsidP="002812E7">
      <w:pPr>
        <w:rPr>
          <w:rFonts w:asciiTheme="minorHAnsi" w:hAnsiTheme="minorHAnsi" w:cstheme="minorHAnsi"/>
          <w:color w:val="0070C0"/>
        </w:rPr>
      </w:pPr>
    </w:p>
    <w:p w14:paraId="7DDB74F7" w14:textId="0726EB5D"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E658BD" w:rsidRPr="003B6E34">
        <w:rPr>
          <w:rFonts w:asciiTheme="minorHAnsi" w:hAnsiTheme="minorHAnsi" w:cstheme="minorHAnsi"/>
          <w:color w:val="0070C0"/>
        </w:rPr>
        <w:t xml:space="preserve"> Vaateid peab olema vähemalt neli.</w:t>
      </w:r>
    </w:p>
    <w:p w14:paraId="6723272E" w14:textId="77777777" w:rsidR="002812E7" w:rsidRPr="003B6E34" w:rsidRDefault="002812E7" w:rsidP="002812E7">
      <w:pPr>
        <w:rPr>
          <w:rFonts w:asciiTheme="minorHAnsi" w:hAnsiTheme="minorHAnsi" w:cstheme="minorHAnsi"/>
          <w:color w:val="0070C0"/>
        </w:rPr>
      </w:pPr>
    </w:p>
    <w:p w14:paraId="4AA30EDD" w14:textId="77777777" w:rsidR="002812E7" w:rsidRPr="003B6E34" w:rsidRDefault="002812E7" w:rsidP="002812E7">
      <w:pPr>
        <w:pStyle w:val="Heading2"/>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14:paraId="6C7E177D" w14:textId="77777777" w:rsidR="002812E7" w:rsidRPr="003B6E34" w:rsidRDefault="002812E7" w:rsidP="002812E7">
      <w:pPr>
        <w:rPr>
          <w:rFonts w:asciiTheme="minorHAnsi" w:hAnsiTheme="minorHAnsi" w:cstheme="minorHAnsi"/>
          <w:color w:val="0070C0"/>
          <w:sz w:val="20"/>
        </w:rPr>
      </w:pPr>
    </w:p>
    <w:p w14:paraId="3C580322" w14:textId="77777777" w:rsidR="002812E7" w:rsidRPr="003B6E34" w:rsidRDefault="002812E7" w:rsidP="002812E7">
      <w:pPr>
        <w:pStyle w:val="Heading2"/>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14:paraId="66A65D84" w14:textId="77777777" w:rsidR="009E0DAC" w:rsidRPr="003B6E34" w:rsidRDefault="009E0DAC" w:rsidP="009E0DAC">
      <w:pPr>
        <w:rPr>
          <w:rFonts w:asciiTheme="minorHAnsi" w:hAnsiTheme="minorHAnsi" w:cstheme="minorHAnsi"/>
        </w:rPr>
      </w:pPr>
    </w:p>
    <w:p w14:paraId="48A0E202" w14:textId="77777777" w:rsidR="009E0DAC" w:rsidRPr="003B6E34" w:rsidRDefault="009E0DAC" w:rsidP="009E0DAC">
      <w:pPr>
        <w:pStyle w:val="Heading3"/>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14:paraId="5F0B370C" w14:textId="77777777" w:rsidR="009E0DAC" w:rsidRPr="003B6E34" w:rsidRDefault="009E0DAC" w:rsidP="009E0DAC">
      <w:pPr>
        <w:rPr>
          <w:rFonts w:asciiTheme="minorHAnsi" w:hAnsiTheme="minorHAnsi" w:cstheme="minorHAnsi"/>
          <w:color w:val="0070C0"/>
        </w:rPr>
      </w:pPr>
    </w:p>
    <w:p w14:paraId="25FF140C" w14:textId="5223E56B" w:rsidR="002812E7" w:rsidRPr="003B6E34" w:rsidRDefault="00914F02" w:rsidP="002812E7">
      <w:pPr>
        <w:rPr>
          <w:rFonts w:asciiTheme="minorHAnsi" w:hAnsiTheme="minorHAnsi" w:cstheme="minorHAnsi"/>
          <w:color w:val="0070C0"/>
        </w:rPr>
      </w:pPr>
      <w:r w:rsidRPr="003B6E34">
        <w:rPr>
          <w:rFonts w:asciiTheme="minorHAnsi" w:hAnsiTheme="minorHAnsi" w:cstheme="minorHAnsi"/>
          <w:color w:val="0070C0"/>
        </w:rPr>
        <w:t>Iga reegli kohta vähemalt üks tagasirullitavasse transaktsiooni plokki pandud stsenaarium (lausete järjend), mille korral reegel rakendub.</w:t>
      </w:r>
    </w:p>
    <w:p w14:paraId="1829F684" w14:textId="77777777" w:rsidR="00914F02" w:rsidRPr="003B6E34" w:rsidRDefault="00914F02" w:rsidP="002812E7">
      <w:pPr>
        <w:rPr>
          <w:rFonts w:asciiTheme="minorHAnsi" w:hAnsiTheme="minorHAnsi" w:cstheme="minorHAnsi"/>
          <w:color w:val="0070C0"/>
        </w:rPr>
      </w:pPr>
    </w:p>
    <w:p w14:paraId="45B0E866" w14:textId="77777777" w:rsidR="002812E7" w:rsidRPr="003B6E34" w:rsidRDefault="002812E7" w:rsidP="002812E7">
      <w:pPr>
        <w:pStyle w:val="Heading2"/>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14:paraId="2ED07B4E" w14:textId="77777777" w:rsidR="002812E7" w:rsidRPr="003B6E34" w:rsidRDefault="002812E7" w:rsidP="002812E7">
      <w:pPr>
        <w:rPr>
          <w:rFonts w:asciiTheme="minorHAnsi" w:hAnsiTheme="minorHAnsi" w:cstheme="minorHAnsi"/>
          <w:color w:val="0070C0"/>
        </w:rPr>
      </w:pPr>
    </w:p>
    <w:p w14:paraId="693671E4" w14:textId="77777777"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w:t>
      </w:r>
    </w:p>
    <w:p w14:paraId="68BC2080" w14:textId="77777777" w:rsidR="00E17B26" w:rsidRPr="003B6E34" w:rsidRDefault="00E17B26" w:rsidP="00E17B26">
      <w:pPr>
        <w:rPr>
          <w:rFonts w:asciiTheme="minorHAnsi" w:hAnsiTheme="minorHAnsi" w:cstheme="minorHAnsi"/>
          <w:color w:val="0070C0"/>
        </w:rPr>
      </w:pPr>
    </w:p>
    <w:p w14:paraId="1437C530" w14:textId="77777777" w:rsidR="00E17B26" w:rsidRPr="003B6E34" w:rsidRDefault="00E17B26" w:rsidP="00E17B26">
      <w:pPr>
        <w:pStyle w:val="Heading3"/>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14:paraId="3A94917D" w14:textId="77777777" w:rsidR="00E17B26" w:rsidRPr="003B6E34" w:rsidRDefault="00E17B26" w:rsidP="00E17B26">
      <w:pPr>
        <w:rPr>
          <w:rFonts w:asciiTheme="minorHAnsi" w:hAnsiTheme="minorHAnsi" w:cstheme="minorHAnsi"/>
          <w:color w:val="0070C0"/>
        </w:rPr>
      </w:pPr>
    </w:p>
    <w:p w14:paraId="709E3416" w14:textId="0791F22A"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914F02" w:rsidRPr="003B6E34">
        <w:rPr>
          <w:rFonts w:asciiTheme="minorHAnsi" w:hAnsiTheme="minorHAnsi" w:cstheme="minorHAnsi"/>
          <w:color w:val="0070C0"/>
        </w:rPr>
        <w:t xml:space="preserve"> Andmete muutmise või kustutamise rutiinide väljakutsed võiks panna tagasirullitavasse transaktsiooni plokki.</w:t>
      </w:r>
    </w:p>
    <w:bookmarkEnd w:id="153"/>
    <w:p w14:paraId="067B21BC" w14:textId="77777777" w:rsidR="002812E7" w:rsidRPr="003B6E34" w:rsidRDefault="002812E7" w:rsidP="002812E7">
      <w:pPr>
        <w:rPr>
          <w:rFonts w:asciiTheme="minorHAnsi" w:hAnsiTheme="minorHAnsi" w:cstheme="minorHAnsi"/>
          <w:color w:val="0070C0"/>
        </w:rPr>
      </w:pPr>
    </w:p>
    <w:p w14:paraId="3CC9D67B" w14:textId="77777777" w:rsidR="002812E7" w:rsidRPr="003B6E34" w:rsidRDefault="002812E7" w:rsidP="002812E7">
      <w:pPr>
        <w:pStyle w:val="Heading2"/>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14:paraId="7564CC2A" w14:textId="77777777" w:rsidR="002812E7" w:rsidRPr="003B6E34" w:rsidRDefault="002812E7" w:rsidP="002812E7">
      <w:pPr>
        <w:tabs>
          <w:tab w:val="right" w:pos="422"/>
        </w:tabs>
        <w:rPr>
          <w:rFonts w:asciiTheme="minorHAnsi" w:hAnsiTheme="minorHAnsi" w:cstheme="minorHAnsi"/>
          <w:color w:val="0070C0"/>
        </w:rPr>
      </w:pPr>
    </w:p>
    <w:p w14:paraId="36F96A9C"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197BA62F" w14:textId="77777777" w:rsidR="002812E7" w:rsidRPr="003B6E34" w:rsidRDefault="002812E7" w:rsidP="002812E7">
      <w:pPr>
        <w:tabs>
          <w:tab w:val="right" w:pos="422"/>
        </w:tabs>
        <w:rPr>
          <w:rFonts w:asciiTheme="minorHAnsi" w:hAnsiTheme="minorHAnsi" w:cstheme="minorHAnsi"/>
          <w:color w:val="0070C0"/>
        </w:rPr>
      </w:pPr>
    </w:p>
    <w:p w14:paraId="37A325CD" w14:textId="77777777" w:rsidR="002812E7" w:rsidRPr="003B6E34" w:rsidRDefault="002812E7" w:rsidP="002812E7">
      <w:pPr>
        <w:pStyle w:val="Heading3"/>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14:paraId="08EE0351" w14:textId="77777777" w:rsidR="002812E7" w:rsidRPr="003B6E34" w:rsidRDefault="002812E7" w:rsidP="002812E7">
      <w:pPr>
        <w:rPr>
          <w:rFonts w:asciiTheme="minorHAnsi" w:hAnsiTheme="minorHAnsi" w:cstheme="minorHAnsi"/>
          <w:color w:val="0070C0"/>
          <w:sz w:val="20"/>
        </w:rPr>
      </w:pPr>
    </w:p>
    <w:p w14:paraId="2E01E5BC" w14:textId="77777777" w:rsidR="002812E7" w:rsidRPr="003B6E34" w:rsidRDefault="002812E7" w:rsidP="002812E7">
      <w:pPr>
        <w:pStyle w:val="Heading3"/>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14:paraId="19D736B0" w14:textId="77777777" w:rsidR="002812E7" w:rsidRPr="003B6E34" w:rsidRDefault="002812E7" w:rsidP="002812E7">
      <w:pPr>
        <w:tabs>
          <w:tab w:val="right" w:pos="2918"/>
        </w:tabs>
        <w:rPr>
          <w:rFonts w:asciiTheme="minorHAnsi" w:hAnsiTheme="minorHAnsi" w:cstheme="minorHAnsi"/>
          <w:color w:val="0070C0"/>
          <w:sz w:val="20"/>
        </w:rPr>
      </w:pPr>
    </w:p>
    <w:p w14:paraId="7059CC29" w14:textId="124F26ED" w:rsidR="002812E7" w:rsidRPr="003B6E34" w:rsidRDefault="002812E7" w:rsidP="002812E7">
      <w:pPr>
        <w:pStyle w:val="Heading2"/>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14:paraId="3FFA3303" w14:textId="77777777" w:rsidR="002812E7" w:rsidRPr="003B6E34" w:rsidRDefault="002812E7" w:rsidP="002812E7">
      <w:pPr>
        <w:rPr>
          <w:rFonts w:asciiTheme="minorHAnsi" w:hAnsiTheme="minorHAnsi" w:cstheme="minorHAnsi"/>
          <w:color w:val="0070C0"/>
        </w:rPr>
      </w:pPr>
    </w:p>
    <w:p w14:paraId="7C83C624" w14:textId="3177298A" w:rsidR="002812E7" w:rsidRPr="003B6E34" w:rsidRDefault="002812E7" w:rsidP="002812E7">
      <w:pPr>
        <w:pStyle w:val="Heading2"/>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14:paraId="66553AED" w14:textId="77777777" w:rsidR="002812E7" w:rsidRPr="003B6E34" w:rsidRDefault="002812E7" w:rsidP="002812E7">
      <w:pPr>
        <w:rPr>
          <w:rFonts w:asciiTheme="minorHAnsi" w:hAnsiTheme="minorHAnsi" w:cstheme="minorHAnsi"/>
        </w:rPr>
      </w:pPr>
    </w:p>
    <w:p w14:paraId="6EC28D02"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38A869AF" w14:textId="77777777" w:rsidR="002812E7" w:rsidRPr="003B6E34" w:rsidRDefault="002812E7" w:rsidP="002812E7">
      <w:pPr>
        <w:rPr>
          <w:rFonts w:asciiTheme="minorHAnsi" w:hAnsiTheme="minorHAnsi" w:cstheme="minorHAnsi"/>
        </w:rPr>
      </w:pPr>
    </w:p>
    <w:p w14:paraId="2FEB1E0A" w14:textId="77777777" w:rsidR="002812E7" w:rsidRPr="003B6E34" w:rsidRDefault="002812E7" w:rsidP="002812E7">
      <w:pPr>
        <w:pStyle w:val="Heading2"/>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14:paraId="69EC39B3" w14:textId="77777777" w:rsidR="002812E7" w:rsidRPr="003B6E34" w:rsidRDefault="002812E7" w:rsidP="002812E7">
      <w:pPr>
        <w:rPr>
          <w:rFonts w:asciiTheme="minorHAnsi" w:hAnsiTheme="minorHAnsi" w:cstheme="minorHAnsi"/>
          <w:color w:val="0070C0"/>
        </w:rPr>
      </w:pPr>
    </w:p>
    <w:p w14:paraId="266E8097"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7847DE4B" w14:textId="77777777" w:rsidR="002812E7" w:rsidRPr="003B6E34" w:rsidRDefault="002812E7" w:rsidP="002812E7">
      <w:pPr>
        <w:rPr>
          <w:rFonts w:asciiTheme="minorHAnsi" w:hAnsiTheme="minorHAnsi" w:cstheme="minorHAnsi"/>
          <w:color w:val="0070C0"/>
        </w:rPr>
      </w:pPr>
    </w:p>
    <w:p w14:paraId="7827E159" w14:textId="77777777" w:rsidR="002812E7" w:rsidRPr="003B6E34" w:rsidRDefault="002812E7" w:rsidP="002812E7">
      <w:pPr>
        <w:pStyle w:val="Heading2"/>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14:paraId="2CFD0826" w14:textId="77777777" w:rsidR="002812E7" w:rsidRPr="003B6E34" w:rsidRDefault="002812E7" w:rsidP="002812E7">
      <w:pPr>
        <w:rPr>
          <w:rFonts w:asciiTheme="minorHAnsi" w:hAnsiTheme="minorHAnsi" w:cstheme="minorHAnsi"/>
          <w:color w:val="0070C0"/>
        </w:rPr>
      </w:pPr>
    </w:p>
    <w:p w14:paraId="022E542E" w14:textId="77777777" w:rsidR="002812E7" w:rsidRPr="003B6E34" w:rsidRDefault="002812E7" w:rsidP="002812E7">
      <w:pPr>
        <w:pStyle w:val="Heading2"/>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14:paraId="466008EE" w14:textId="77777777" w:rsidR="002812E7" w:rsidRPr="003B6E34" w:rsidRDefault="002812E7" w:rsidP="002812E7">
      <w:pPr>
        <w:rPr>
          <w:rFonts w:asciiTheme="minorHAnsi" w:hAnsiTheme="minorHAnsi" w:cstheme="minorHAnsi"/>
          <w:color w:val="0070C0"/>
        </w:rPr>
      </w:pPr>
    </w:p>
    <w:p w14:paraId="6D43705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4F39E7AA" w14:textId="77777777" w:rsidR="002812E7" w:rsidRPr="003B6E34" w:rsidRDefault="002812E7" w:rsidP="002812E7">
      <w:pPr>
        <w:ind w:left="528" w:hanging="528"/>
        <w:rPr>
          <w:rFonts w:asciiTheme="minorHAnsi" w:hAnsiTheme="minorHAnsi" w:cstheme="minorHAnsi"/>
          <w:color w:val="0070C0"/>
        </w:rPr>
      </w:pPr>
    </w:p>
    <w:p w14:paraId="7B793CCC" w14:textId="77777777" w:rsidR="002812E7" w:rsidRPr="003B6E34" w:rsidRDefault="002812E7" w:rsidP="002812E7">
      <w:pPr>
        <w:pStyle w:val="Heading2"/>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14:paraId="751E485B" w14:textId="77777777" w:rsidR="002812E7" w:rsidRPr="003B6E34" w:rsidRDefault="002812E7" w:rsidP="002812E7">
      <w:pPr>
        <w:rPr>
          <w:rFonts w:asciiTheme="minorHAnsi" w:hAnsiTheme="minorHAnsi" w:cstheme="minorHAnsi"/>
          <w:color w:val="0070C0"/>
          <w:sz w:val="20"/>
        </w:rPr>
      </w:pPr>
    </w:p>
    <w:p w14:paraId="25CABAC7" w14:textId="77777777" w:rsidR="002812E7" w:rsidRPr="003B6E34" w:rsidRDefault="002812E7" w:rsidP="002812E7">
      <w:pPr>
        <w:pStyle w:val="Heading2"/>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14:paraId="6D6C3789" w14:textId="77777777" w:rsidR="002812E7" w:rsidRPr="003B6E34" w:rsidRDefault="002812E7" w:rsidP="002812E7">
      <w:pPr>
        <w:rPr>
          <w:rFonts w:asciiTheme="minorHAnsi" w:hAnsiTheme="minorHAnsi" w:cstheme="minorHAnsi"/>
        </w:rPr>
      </w:pPr>
    </w:p>
    <w:p w14:paraId="6B9B7B67" w14:textId="77777777" w:rsidR="002812E7" w:rsidRPr="003B6E34" w:rsidRDefault="002812E7" w:rsidP="002812E7">
      <w:pPr>
        <w:pStyle w:val="Heading2"/>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14:paraId="46DA0957" w14:textId="77777777" w:rsidR="002812E7" w:rsidRPr="003B6E34" w:rsidRDefault="002812E7" w:rsidP="002812E7">
      <w:pPr>
        <w:rPr>
          <w:rFonts w:asciiTheme="minorHAnsi" w:hAnsiTheme="minorHAnsi" w:cstheme="minorHAnsi"/>
          <w:color w:val="0070C0"/>
          <w:sz w:val="20"/>
          <w:u w:val="single"/>
        </w:rPr>
      </w:pPr>
    </w:p>
    <w:p w14:paraId="35A5303D" w14:textId="77777777" w:rsidR="002812E7" w:rsidRPr="003B6E34" w:rsidRDefault="002812E7" w:rsidP="002812E7">
      <w:pPr>
        <w:pStyle w:val="Heading2"/>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14:paraId="29FD4CE4" w14:textId="77777777" w:rsidR="002812E7" w:rsidRPr="003B6E34" w:rsidRDefault="002812E7" w:rsidP="002812E7">
      <w:pPr>
        <w:rPr>
          <w:rFonts w:asciiTheme="minorHAnsi" w:hAnsiTheme="minorHAnsi" w:cstheme="minorHAnsi"/>
          <w:color w:val="0070C0"/>
        </w:rPr>
      </w:pPr>
    </w:p>
    <w:p w14:paraId="757B8B4F" w14:textId="77777777" w:rsidR="002812E7" w:rsidRPr="003B6E34" w:rsidRDefault="002812E7" w:rsidP="002812E7">
      <w:pPr>
        <w:pStyle w:val="Heading3"/>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14:paraId="1F9C56A7" w14:textId="77777777" w:rsidR="002812E7" w:rsidRPr="003B6E34" w:rsidRDefault="002812E7" w:rsidP="002812E7">
      <w:pPr>
        <w:rPr>
          <w:rFonts w:asciiTheme="minorHAnsi" w:hAnsiTheme="minorHAnsi" w:cstheme="minorHAnsi"/>
          <w:color w:val="0070C0"/>
        </w:rPr>
      </w:pPr>
    </w:p>
    <w:p w14:paraId="4BB50F5F" w14:textId="77777777" w:rsidR="002812E7" w:rsidRPr="003B6E34" w:rsidRDefault="002812E7" w:rsidP="002812E7">
      <w:pPr>
        <w:pStyle w:val="Heading3"/>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14:paraId="7C1B8D05" w14:textId="77777777" w:rsidR="002812E7" w:rsidRPr="003B6E34" w:rsidRDefault="002812E7" w:rsidP="002812E7">
      <w:pPr>
        <w:rPr>
          <w:rFonts w:asciiTheme="minorHAnsi" w:hAnsiTheme="minorHAnsi" w:cstheme="minorHAnsi"/>
          <w:color w:val="0070C0"/>
        </w:rPr>
      </w:pPr>
    </w:p>
    <w:p w14:paraId="6F2E3E1D" w14:textId="74434170" w:rsidR="00163B9D" w:rsidRPr="003B6E34" w:rsidRDefault="00163B9D" w:rsidP="002812E7">
      <w:pPr>
        <w:pStyle w:val="Heading3"/>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14:paraId="7234CDE2" w14:textId="77777777" w:rsidR="00163B9D" w:rsidRPr="003B6E34" w:rsidRDefault="00163B9D" w:rsidP="00163B9D">
      <w:pPr>
        <w:rPr>
          <w:rFonts w:asciiTheme="minorHAnsi" w:hAnsiTheme="minorHAnsi" w:cstheme="minorHAnsi"/>
        </w:rPr>
      </w:pPr>
    </w:p>
    <w:p w14:paraId="47FDED08" w14:textId="69F4CB75" w:rsidR="002812E7" w:rsidRPr="003B6E34" w:rsidRDefault="002812E7" w:rsidP="002812E7">
      <w:pPr>
        <w:pStyle w:val="Heading3"/>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14:paraId="737B1B41" w14:textId="77777777" w:rsidR="002812E7" w:rsidRPr="003B6E34" w:rsidRDefault="002812E7" w:rsidP="002812E7">
      <w:pPr>
        <w:rPr>
          <w:rFonts w:asciiTheme="minorHAnsi" w:hAnsiTheme="minorHAnsi" w:cstheme="minorHAnsi"/>
          <w:color w:val="0070C0"/>
        </w:rPr>
      </w:pPr>
    </w:p>
    <w:p w14:paraId="54D1742A" w14:textId="77777777" w:rsidR="002812E7" w:rsidRPr="003B6E34" w:rsidRDefault="002812E7" w:rsidP="002812E7">
      <w:pPr>
        <w:pStyle w:val="Heading3"/>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14:paraId="02624A4D" w14:textId="77777777" w:rsidR="002812E7" w:rsidRPr="003B6E34" w:rsidRDefault="002812E7" w:rsidP="002812E7">
      <w:pPr>
        <w:rPr>
          <w:rFonts w:asciiTheme="minorHAnsi" w:hAnsiTheme="minorHAnsi" w:cstheme="minorHAnsi"/>
          <w:color w:val="0070C0"/>
        </w:rPr>
      </w:pPr>
    </w:p>
    <w:p w14:paraId="0FC913B0" w14:textId="77777777" w:rsidR="002812E7" w:rsidRPr="003B6E34" w:rsidRDefault="002812E7" w:rsidP="002812E7">
      <w:pPr>
        <w:pStyle w:val="Heading3"/>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14:paraId="300504C2" w14:textId="77777777" w:rsidR="002812E7" w:rsidRPr="003B6E34" w:rsidRDefault="002812E7" w:rsidP="002812E7">
      <w:pPr>
        <w:rPr>
          <w:rFonts w:asciiTheme="minorHAnsi" w:hAnsiTheme="minorHAnsi" w:cstheme="minorHAnsi"/>
          <w:color w:val="0070C0"/>
        </w:rPr>
      </w:pPr>
    </w:p>
    <w:p w14:paraId="4B944B56" w14:textId="77777777" w:rsidR="002812E7" w:rsidRPr="003B6E34" w:rsidRDefault="002812E7" w:rsidP="002812E7">
      <w:pPr>
        <w:pStyle w:val="Heading3"/>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14:paraId="131AF950" w14:textId="77777777" w:rsidR="002812E7" w:rsidRPr="003B6E34" w:rsidRDefault="002812E7" w:rsidP="002812E7">
      <w:pPr>
        <w:rPr>
          <w:rFonts w:asciiTheme="minorHAnsi" w:hAnsiTheme="minorHAnsi" w:cstheme="minorHAnsi"/>
        </w:rPr>
      </w:pPr>
    </w:p>
    <w:p w14:paraId="7B63192B" w14:textId="23C98F5E" w:rsidR="002B5C82" w:rsidRPr="003B6E34" w:rsidRDefault="002B5C82" w:rsidP="002812E7">
      <w:pPr>
        <w:pStyle w:val="Heading3"/>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14:paraId="617B5B90" w14:textId="77777777" w:rsidR="002B5C82" w:rsidRPr="003B6E34" w:rsidRDefault="002B5C82" w:rsidP="002B5C82">
      <w:pPr>
        <w:rPr>
          <w:rFonts w:asciiTheme="minorHAnsi" w:hAnsiTheme="minorHAnsi" w:cstheme="minorHAnsi"/>
        </w:rPr>
      </w:pPr>
    </w:p>
    <w:p w14:paraId="0CDB2817" w14:textId="0174DD86" w:rsidR="002812E7" w:rsidRPr="003B6E34" w:rsidRDefault="002812E7" w:rsidP="002812E7">
      <w:pPr>
        <w:pStyle w:val="Heading3"/>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14:paraId="4E9DAC68" w14:textId="77777777" w:rsidR="002812E7" w:rsidRPr="003B6E34" w:rsidRDefault="002812E7" w:rsidP="002812E7">
      <w:pPr>
        <w:rPr>
          <w:rFonts w:asciiTheme="minorHAnsi" w:hAnsiTheme="minorHAnsi" w:cstheme="minorHAnsi"/>
        </w:rPr>
      </w:pPr>
    </w:p>
    <w:p w14:paraId="11EBF883" w14:textId="77777777" w:rsidR="002812E7" w:rsidRPr="003B6E34" w:rsidRDefault="002812E7" w:rsidP="002812E7">
      <w:pPr>
        <w:pStyle w:val="Heading3"/>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14:paraId="24A96E31" w14:textId="77777777" w:rsidR="002812E7" w:rsidRPr="003B6E34" w:rsidRDefault="002812E7" w:rsidP="002812E7">
      <w:pPr>
        <w:rPr>
          <w:rFonts w:asciiTheme="minorHAnsi" w:hAnsiTheme="minorHAnsi" w:cstheme="minorHAnsi"/>
        </w:rPr>
      </w:pPr>
    </w:p>
    <w:p w14:paraId="12F514E9" w14:textId="77777777" w:rsidR="002812E7" w:rsidRPr="003B6E34" w:rsidRDefault="002812E7" w:rsidP="002812E7">
      <w:pPr>
        <w:pStyle w:val="Heading3"/>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14:paraId="29D190F0" w14:textId="77777777" w:rsidR="00C30AB5" w:rsidRPr="003B6E34" w:rsidRDefault="00C30AB5" w:rsidP="00C30AB5">
      <w:pPr>
        <w:rPr>
          <w:rFonts w:asciiTheme="minorHAnsi" w:hAnsiTheme="minorHAnsi" w:cstheme="minorHAnsi"/>
        </w:rPr>
      </w:pPr>
    </w:p>
    <w:p w14:paraId="49D4A8C4" w14:textId="77777777" w:rsidR="00C30AB5" w:rsidRPr="003B6E34" w:rsidRDefault="00C30AB5" w:rsidP="00C30AB5">
      <w:pPr>
        <w:pStyle w:val="Heading3"/>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14:paraId="7964BFB3" w14:textId="77777777" w:rsidR="00136344" w:rsidRPr="003B6E34" w:rsidRDefault="00136344" w:rsidP="00136344">
      <w:pPr>
        <w:rPr>
          <w:rFonts w:asciiTheme="minorHAnsi" w:hAnsiTheme="minorHAnsi" w:cstheme="minorHAnsi"/>
        </w:rPr>
      </w:pPr>
    </w:p>
    <w:p w14:paraId="14B9FEA6" w14:textId="4EBBAD29" w:rsidR="00136344" w:rsidRPr="003B6E34" w:rsidRDefault="00136344" w:rsidP="00136344">
      <w:pPr>
        <w:pStyle w:val="Heading3"/>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14:paraId="348ABF2B" w14:textId="77777777" w:rsidR="00C30AB5" w:rsidRPr="003B6E34" w:rsidRDefault="00C30AB5" w:rsidP="00C30AB5">
      <w:pPr>
        <w:rPr>
          <w:rFonts w:asciiTheme="minorHAnsi" w:hAnsiTheme="minorHAnsi" w:cstheme="minorHAnsi"/>
        </w:rPr>
      </w:pPr>
    </w:p>
    <w:p w14:paraId="5F2FF094" w14:textId="77777777" w:rsidR="002812E7" w:rsidRPr="003B6E34" w:rsidRDefault="002812E7" w:rsidP="002812E7">
      <w:pPr>
        <w:rPr>
          <w:rFonts w:asciiTheme="minorHAnsi" w:hAnsiTheme="minorHAnsi" w:cstheme="minorHAnsi"/>
          <w:color w:val="0070C0"/>
          <w:sz w:val="20"/>
        </w:rPr>
      </w:pPr>
      <w:r w:rsidRPr="003B6E34">
        <w:rPr>
          <w:rFonts w:asciiTheme="minorHAnsi" w:hAnsiTheme="minorHAnsi" w:cstheme="minorHAnsi"/>
          <w:color w:val="0070C0"/>
          <w:sz w:val="20"/>
        </w:rPr>
        <w:br w:type="page"/>
      </w:r>
    </w:p>
    <w:p w14:paraId="57CD954F" w14:textId="77777777" w:rsidR="00136344" w:rsidRPr="003B6E34" w:rsidRDefault="00136344" w:rsidP="002812E7">
      <w:pPr>
        <w:rPr>
          <w:rFonts w:asciiTheme="minorHAnsi" w:hAnsiTheme="minorHAnsi" w:cstheme="minorHAnsi"/>
          <w:color w:val="0070C0"/>
          <w:sz w:val="20"/>
        </w:rPr>
      </w:pP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t>Peatüki 3 teksti ja registridiagrammide koostamisel kasutati Codexit. Selle abil valmistati ette peatüki sõnastus ja 11 diagrammi ning võrreldi tabelite kirjeldusi lähteprojekti ja kohaliku PostgreSQLi skeemiga.</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pPr>
        <w:numPr>
          <w:ilvl w:val="0"/>
          <w:numId w:val="3"/>
        </w:numPr>
        <w:tabs>
          <w:tab w:val="left" w:pos="20160"/>
          <w:tab w:val="left" w:pos="24480"/>
          <w:tab w:val="left" w:pos="26640"/>
        </w:tabs>
        <w:spacing w:before="240" w:after="60"/>
        <w:rPr>
          <w:rFonts w:asciiTheme="minorHAnsi" w:hAnsiTheme="minorHAnsi" w:cstheme="minorHAnsi"/>
        </w:rPr>
      </w:pPr>
      <w:r>
        <w:t>Eessaar, E. (2026). Andmebaasid II (ITI0207), ülesanne 2, versioon 2. Maurus, kursus 391.</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image" Target="media/image24.png"/><Relationship Id="rId62" Type="http://schemas.openxmlformats.org/officeDocument/2006/relationships/image" Target="media/image25.png"/><Relationship Id="rId63" Type="http://schemas.openxmlformats.org/officeDocument/2006/relationships/image" Target="media/image26.png"/><Relationship Id="rId64" Type="http://schemas.openxmlformats.org/officeDocument/2006/relationships/image" Target="media/image27.png"/><Relationship Id="rId6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