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009E7684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commentRangeStart w:id="0"/>
      <w:commentRangeStart w:id="1"/>
      <w:r>
        <w:rPr>
          <w:rStyle w:val="7"/>
          <w:lang w:bidi="ar-SA"/>
        </w:rPr>
        <w:commentReference w:id="0"/>
      </w:r>
      <w:commentRangeEnd w:id="0"/>
      <w:commentRangeEnd w:id="1"/>
      <w:r>
        <w:commentReference w:id="1"/>
      </w:r>
      <w:r>
        <w:rPr>
          <w:lang w:val="ru-RU"/>
        </w:rPr>
        <w:t>Пояснительная</w:t>
      </w:r>
      <w:r>
        <w:rPr>
          <w:rFonts w:hint="default"/>
          <w:lang w:val="ru-RU"/>
        </w:rPr>
        <w:t xml:space="preserve"> записка</w:t>
      </w:r>
      <w:r>
        <w:t>, 3</w:t>
      </w:r>
      <w:r>
        <w:rPr>
          <w:rFonts w:hint="default"/>
          <w:lang w:val="ru-RU"/>
        </w:rPr>
        <w:t>3</w:t>
      </w:r>
      <w:r>
        <w:t xml:space="preserve"> страницы,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commentRangeStart w:id="2"/>
      <w:commentRangeStart w:id="3"/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391785" cy="5299710"/>
            <wp:effectExtent l="0" t="0" r="5715" b="889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1785" cy="529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6A255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13DD2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FirstValidate</w:t>
            </w:r>
          </w:p>
        </w:tc>
        <w:tc>
          <w:tcPr>
            <w:tcW w:w="2790" w:type="dxa"/>
          </w:tcPr>
          <w:p w14:paraId="0BD38A4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D6D035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введённых данных по формату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Обработчик изменения </w:t>
            </w:r>
            <w:r>
              <w:rPr>
                <w:rFonts w:hint="default"/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TextBox,</w:t>
            </w:r>
            <w:r>
              <w:rPr>
                <w:sz w:val="24"/>
                <w:szCs w:val="24"/>
                <w:lang w:val="en-US"/>
              </w:rPr>
              <w:t xml:space="preserve">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SecondValidate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Form1_Load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 w:val="28"/>
          <w:szCs w:val="28"/>
        </w:rPr>
      </w:pPr>
      <w:r>
        <w:rPr>
          <w:sz w:val="28"/>
          <w:szCs w:val="28"/>
        </w:rPr>
        <w:t xml:space="preserve">Таблица 7.3 − Свойства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2598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B769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A80642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Постоянная разница в 4 раза</w:t>
            </w:r>
          </w:p>
        </w:tc>
      </w:tr>
      <w:tr w14:paraId="2C066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4AFA9F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DIF</w:t>
            </w:r>
          </w:p>
        </w:tc>
        <w:tc>
          <w:tcPr>
            <w:tcW w:w="2598" w:type="dxa"/>
          </w:tcPr>
          <w:p w14:paraId="1B24660C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5 мм</w:t>
            </w:r>
          </w:p>
        </w:tc>
      </w:tr>
      <w:tr w14:paraId="3013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0B708D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DIAMETERDIF</w:t>
            </w:r>
          </w:p>
        </w:tc>
        <w:tc>
          <w:tcPr>
            <w:tcW w:w="2598" w:type="dxa"/>
          </w:tcPr>
          <w:p w14:paraId="242989C3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2 мм</w:t>
            </w:r>
          </w:p>
        </w:tc>
      </w:tr>
      <w:tr w14:paraId="352A1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259D58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в 2 раза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6" w:hRule="atLeast"/>
        </w:trPr>
        <w:tc>
          <w:tcPr>
            <w:tcW w:w="1911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наконечника (плоский/крестообразный</w:t>
            </w:r>
            <w:r>
              <w:rPr>
                <w:rFonts w:hint="default"/>
                <w:sz w:val="28"/>
                <w:szCs w:val="28"/>
                <w:lang w:val="en-US"/>
              </w:rPr>
              <w:t>/</w:t>
            </w:r>
            <w:r>
              <w:rPr>
                <w:rFonts w:hint="default"/>
                <w:sz w:val="28"/>
                <w:szCs w:val="28"/>
                <w:lang w:val="ru-RU"/>
              </w:rPr>
              <w:t>квадратный</w:t>
            </w:r>
            <w:r>
              <w:rPr>
                <w:sz w:val="28"/>
                <w:szCs w:val="28"/>
              </w:rPr>
              <w:t>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_</w:t>
            </w: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D1D8CF6">
      <w:pPr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7.4 − Методы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2"/>
        <w:gridCol w:w="1732"/>
        <w:gridCol w:w="2324"/>
        <w:gridCol w:w="260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2702" w:type="dxa"/>
          </w:tcPr>
          <w:p w14:paraId="01B58F17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32" w:type="dxa"/>
          </w:tcPr>
          <w:p w14:paraId="2D3F110A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2324" w:type="dxa"/>
          </w:tcPr>
          <w:p w14:paraId="677D828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параметры</w:t>
            </w:r>
          </w:p>
        </w:tc>
        <w:tc>
          <w:tcPr>
            <w:tcW w:w="2605" w:type="dxa"/>
          </w:tcPr>
          <w:p w14:paraId="55045F7C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7E0EC5A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ValidateParameters</w:t>
            </w:r>
          </w:p>
        </w:tc>
        <w:tc>
          <w:tcPr>
            <w:tcW w:w="1732" w:type="dxa"/>
          </w:tcPr>
          <w:p w14:paraId="17C15E2E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7046BB5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48DCE0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Валидирует зависимые параметры</w:t>
            </w:r>
          </w:p>
        </w:tc>
      </w:tr>
      <w:tr w14:paraId="3B023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047D9C8A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DefineMinMax</w:t>
            </w:r>
          </w:p>
        </w:tc>
        <w:tc>
          <w:tcPr>
            <w:tcW w:w="1732" w:type="dxa"/>
          </w:tcPr>
          <w:p w14:paraId="6D3AD62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26205A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2505E6B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Определяет граничные условия для параметра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702" w:type="dxa"/>
          </w:tcPr>
          <w:p w14:paraId="50608AD5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SetParameter</w:t>
            </w:r>
          </w:p>
        </w:tc>
        <w:tc>
          <w:tcPr>
            <w:tcW w:w="1732" w:type="dxa"/>
          </w:tcPr>
          <w:p w14:paraId="22BAEBDE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ParameterType, Parameter</w:t>
            </w:r>
          </w:p>
        </w:tc>
        <w:tc>
          <w:tcPr>
            <w:tcW w:w="2324" w:type="dxa"/>
          </w:tcPr>
          <w:p w14:paraId="77F758FF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71E15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</w:trPr>
        <w:tc>
          <w:tcPr>
            <w:tcW w:w="2702" w:type="dxa"/>
          </w:tcPr>
          <w:p w14:paraId="0BE9A42B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AllParameters</w:t>
            </w:r>
          </w:p>
        </w:tc>
        <w:tc>
          <w:tcPr>
            <w:tcW w:w="1732" w:type="dxa"/>
          </w:tcPr>
          <w:p w14:paraId="1D4BC1F1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7E5BF67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2605" w:type="dxa"/>
          </w:tcPr>
          <w:p w14:paraId="290C259A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Свойство для поля </w:t>
            </w:r>
            <w:r>
              <w:rPr>
                <w:sz w:val="28"/>
                <w:szCs w:val="28"/>
                <w:lang w:val="en-US"/>
              </w:rPr>
              <w:t>_parameters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5" w:hRule="atLeast"/>
        </w:trPr>
        <w:tc>
          <w:tcPr>
            <w:tcW w:w="2702" w:type="dxa"/>
          </w:tcPr>
          <w:p w14:paraId="1865A08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ShapeOfRod</w:t>
            </w:r>
          </w:p>
        </w:tc>
        <w:tc>
          <w:tcPr>
            <w:tcW w:w="1732" w:type="dxa"/>
          </w:tcPr>
          <w:p w14:paraId="0DCBEE01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63764E1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605" w:type="dxa"/>
          </w:tcPr>
          <w:p w14:paraId="4C9F9FC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4C368E2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ShapeOfHandle</w:t>
            </w:r>
          </w:p>
        </w:tc>
        <w:tc>
          <w:tcPr>
            <w:tcW w:w="1732" w:type="dxa"/>
          </w:tcPr>
          <w:p w14:paraId="63F7A4BD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2E77C03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2605" w:type="dxa"/>
          </w:tcPr>
          <w:p w14:paraId="431540B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30C34CF4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1732" w:type="dxa"/>
          </w:tcPr>
          <w:p w14:paraId="556654F8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−</w:t>
            </w:r>
          </w:p>
        </w:tc>
        <w:tc>
          <w:tcPr>
            <w:tcW w:w="2324" w:type="dxa"/>
          </w:tcPr>
          <w:p w14:paraId="505BAC8F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605" w:type="dxa"/>
          </w:tcPr>
          <w:p w14:paraId="2063C270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</w:pPr>
      <w:r>
        <w:tab/>
      </w:r>
    </w:p>
    <w:p w14:paraId="1CD6D798">
      <w:pPr>
        <w:ind w:right="59" w:firstLine="0"/>
      </w:pPr>
    </w:p>
    <w:p w14:paraId="2E7DE8FF">
      <w:pPr>
        <w:ind w:right="59" w:firstLine="0"/>
      </w:pPr>
    </w:p>
    <w:p w14:paraId="6936BD49">
      <w:pPr>
        <w:ind w:right="59" w:firstLine="708" w:firstLineChars="0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</w:t>
            </w:r>
            <w:r>
              <w:rPr>
                <w:rFonts w:hint="default"/>
                <w:lang w:val="ru-RU"/>
              </w:rP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2/3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3/4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1/7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5/6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1/10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  <w:vAlign w:val="top"/>
          </w:tcPr>
          <w:p w14:paraId="020FA33C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  <w:vAlign w:val="top"/>
          </w:tcPr>
          <w:p w14:paraId="559F22E7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  <w:vAlign w:val="top"/>
          </w:tcPr>
          <w:p w14:paraId="26E4B4FF">
            <w:pPr>
              <w:widowControl w:val="0"/>
              <w:ind w:right="59" w:rightChars="0" w:firstLine="0" w:firstLineChars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46" w:type="dxa"/>
          </w:tcPr>
          <w:p w14:paraId="53A6BE4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5" w:hRule="atLeast"/>
        </w:trPr>
        <w:tc>
          <w:tcPr>
            <w:tcW w:w="1546" w:type="dxa"/>
          </w:tcPr>
          <w:p w14:paraId="605731A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2035" w:type="dxa"/>
          </w:tcPr>
          <w:p w14:paraId="6C74871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035" w:type="dxa"/>
          </w:tcPr>
          <w:p w14:paraId="3AEFCBD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54D241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3B1B5DF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Тип параметра</w:t>
            </w:r>
          </w:p>
        </w:tc>
      </w:tr>
    </w:tbl>
    <w:p w14:paraId="07BC8D5F">
      <w:pPr>
        <w:spacing w:line="240" w:lineRule="auto"/>
        <w:ind w:left="0" w:leftChars="0" w:right="59" w:firstLine="0" w:firstLineChars="0"/>
        <w:rPr>
          <w:sz w:val="24"/>
          <w:szCs w:val="24"/>
        </w:rPr>
      </w:pPr>
    </w:p>
    <w:p w14:paraId="0C5F2737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.8 −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926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9"/>
        <w:gridCol w:w="7833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Свойство для поля</w:t>
            </w:r>
            <w:r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TypeOfParameter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 w:eastAsia="zh-CN" w:bidi="ar"/>
              </w:rPr>
            </w:pPr>
            <w:r>
              <w:rPr>
                <w:rFonts w:hint="default"/>
                <w:sz w:val="24"/>
                <w:szCs w:val="24"/>
                <w:lang w:val="ru-RU" w:eastAsia="zh-CN" w:bidi="ar"/>
              </w:rPr>
              <w:t xml:space="preserve">Свойство для поля </w:t>
            </w:r>
            <w:r>
              <w:rPr>
                <w:rFonts w:hint="default"/>
                <w:sz w:val="24"/>
                <w:szCs w:val="24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9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</w:tbl>
    <w:p w14:paraId="66C773CD">
      <w:pPr>
        <w:ind w:right="59" w:firstLine="0"/>
        <w:rPr>
          <w:rFonts w:hint="default"/>
          <w:lang w:val="en-US"/>
        </w:rPr>
      </w:pPr>
    </w:p>
    <w:p w14:paraId="14B1CF66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1862" w:type="dxa"/>
          </w:tcPr>
          <w:p w14:paraId="046E2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1862" w:type="dxa"/>
          </w:tcPr>
          <w:p w14:paraId="536219C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862" w:type="dxa"/>
          </w:tcPr>
          <w:p w14:paraId="6E244A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1862" w:type="dxa"/>
          </w:tcPr>
          <w:p w14:paraId="4675E0D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0"/>
        <w:gridCol w:w="1831"/>
        <w:gridCol w:w="5971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</w:tbl>
    <w:p w14:paraId="75B02443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 новый метод </w:t>
      </w:r>
      <w:r>
        <w:rPr>
          <w:rFonts w:hint="default"/>
          <w:szCs w:val="28"/>
          <w:lang w:val="en-US"/>
        </w:rPr>
        <w:t>CheckBoxIsHoleExist_CheckedChanged;</w:t>
      </w:r>
      <w:r>
        <w:rPr>
          <w:rFonts w:hint="default"/>
          <w:szCs w:val="28"/>
          <w:lang w:val="ru-RU"/>
        </w:rPr>
        <w:t xml:space="preserve"> Объединены </w:t>
      </w:r>
      <w:r>
        <w:rPr>
          <w:rFonts w:hint="default"/>
          <w:szCs w:val="28"/>
          <w:lang w:val="en-US"/>
        </w:rPr>
        <w:t xml:space="preserve">TextBoxLeave </w:t>
      </w:r>
      <w:r>
        <w:rPr>
          <w:rFonts w:hint="default"/>
          <w:szCs w:val="28"/>
          <w:lang w:val="ru-RU"/>
        </w:rPr>
        <w:t>для параметров ручки и параметров наконечника</w:t>
      </w:r>
      <w:r>
        <w:rPr>
          <w:rFonts w:hint="default"/>
          <w:szCs w:val="28"/>
          <w:lang w:val="en-US"/>
        </w:rPr>
        <w:t>;</w:t>
      </w:r>
      <w:r>
        <w:rPr>
          <w:rFonts w:hint="default"/>
          <w:szCs w:val="28"/>
          <w:lang w:val="ru-RU"/>
        </w:rPr>
        <w:t xml:space="preserve"> 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en-US"/>
        </w:rPr>
        <w:t>8</w:t>
      </w:r>
      <w:r>
        <w:rPr>
          <w:szCs w:val="28"/>
        </w:rPr>
        <w:t xml:space="preserve"> дополнительных пол</w:t>
      </w:r>
      <w:r>
        <w:rPr>
          <w:rFonts w:hint="default"/>
          <w:szCs w:val="28"/>
          <w:lang w:val="ru-RU"/>
        </w:rPr>
        <w:t>ей</w:t>
      </w:r>
      <w:r>
        <w:rPr>
          <w:szCs w:val="28"/>
        </w:rPr>
        <w:t xml:space="preserve">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rFonts w:hint="default"/>
          <w:szCs w:val="28"/>
          <w:lang w:val="en-US"/>
        </w:rPr>
        <w:t>, _isHoleExist</w:t>
      </w:r>
      <w:r>
        <w:rPr>
          <w:rFonts w:hint="default"/>
          <w:szCs w:val="28"/>
          <w:lang w:val="ru-RU"/>
        </w:rPr>
        <w:t xml:space="preserve"> а также 4 константных </w:t>
      </w:r>
      <w:r>
        <w:rPr>
          <w:rFonts w:hint="default"/>
          <w:szCs w:val="28"/>
          <w:lang w:val="en-US"/>
        </w:rPr>
        <w:t>FOURPLE, DIF, DIAMETERDIF, 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</w:t>
      </w:r>
      <w:r>
        <w:rPr>
          <w:szCs w:val="28"/>
          <w:lang w:val="ru-RU"/>
        </w:rPr>
        <w:t>стал</w:t>
      </w:r>
      <w:r>
        <w:rPr>
          <w:rFonts w:hint="default"/>
          <w:szCs w:val="28"/>
          <w:lang w:val="ru-RU"/>
        </w:rPr>
        <w:t xml:space="preserve"> принимать</w:t>
      </w:r>
      <w:r>
        <w:rPr>
          <w:szCs w:val="28"/>
        </w:rPr>
        <w:t xml:space="preserve"> </w:t>
      </w:r>
      <w:r>
        <w:rPr>
          <w:szCs w:val="28"/>
          <w:lang w:val="ru-RU"/>
        </w:rPr>
        <w:t>на</w:t>
      </w:r>
      <w:r>
        <w:rPr>
          <w:rFonts w:hint="default"/>
          <w:szCs w:val="28"/>
          <w:lang w:val="ru-RU"/>
        </w:rPr>
        <w:t xml:space="preserve"> вход </w:t>
      </w:r>
      <w:r>
        <w:rPr>
          <w:rFonts w:hint="default"/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>&gt;;</w:t>
      </w:r>
      <w:r>
        <w:rPr>
          <w:rFonts w:hint="default"/>
          <w:szCs w:val="28"/>
          <w:lang w:val="ru-RU"/>
        </w:rPr>
        <w:t xml:space="preserve"> добавлено свойство </w:t>
      </w:r>
      <w:r>
        <w:rPr>
          <w:rFonts w:hint="default"/>
          <w:szCs w:val="28"/>
          <w:lang w:val="en-US"/>
        </w:rPr>
        <w:t>IsHoleExist;</w:t>
      </w:r>
      <w:r>
        <w:rPr>
          <w:rFonts w:hint="default"/>
          <w:szCs w:val="28"/>
          <w:lang w:val="ru-RU"/>
        </w:rPr>
        <w:t xml:space="preserve"> добавлен метод </w:t>
      </w:r>
      <w:r>
        <w:rPr>
          <w:rFonts w:hint="default"/>
          <w:szCs w:val="28"/>
          <w:lang w:val="en-US"/>
        </w:rPr>
        <w:t xml:space="preserve">DefineMinMax </w:t>
      </w:r>
      <w:r>
        <w:rPr>
          <w:rFonts w:hint="default"/>
          <w:szCs w:val="28"/>
          <w:lang w:val="ru-RU"/>
        </w:rPr>
        <w:t xml:space="preserve">для определния граничных значений </w:t>
      </w:r>
      <w:r>
        <w:rPr>
          <w:rFonts w:hint="default"/>
          <w:szCs w:val="28"/>
          <w:lang w:val="en-US"/>
        </w:rPr>
        <w:t>Parameter;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</w:t>
      </w:r>
      <w:r>
        <w:rPr>
          <w:rFonts w:hint="default"/>
          <w:szCs w:val="28"/>
          <w:lang w:val="ru-RU"/>
        </w:rPr>
        <w:t xml:space="preserve"> добавлены 10 константных полей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>, а также были созданы свойства для каждого из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добавлено поле и свойство </w:t>
      </w:r>
      <w:r>
        <w:rPr>
          <w:rFonts w:hint="default"/>
          <w:szCs w:val="28"/>
          <w:lang w:val="en-US"/>
        </w:rPr>
        <w:t>typeOfParameter;</w:t>
      </w:r>
      <w:r>
        <w:rPr>
          <w:rFonts w:hint="default"/>
          <w:szCs w:val="28"/>
          <w:lang w:val="ru-RU"/>
        </w:rPr>
        <w:t xml:space="preserve"> Также была установлена связь между </w:t>
      </w:r>
      <w:r>
        <w:rPr>
          <w:rFonts w:hint="default"/>
          <w:szCs w:val="28"/>
          <w:lang w:val="en-US"/>
        </w:rPr>
        <w:t xml:space="preserve">Parameter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ParameterType;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</w:t>
      </w:r>
      <w:r>
        <w:rPr>
          <w:rFonts w:hint="default"/>
          <w:szCs w:val="28"/>
          <w:lang w:val="en-US"/>
        </w:rPr>
        <w:t>;</w:t>
      </w:r>
    </w:p>
    <w:p w14:paraId="13ED34A9">
      <w:pPr>
        <w:rPr>
          <w:rFonts w:hint="default"/>
          <w:szCs w:val="28"/>
          <w:lang w:val="ru-RU"/>
        </w:rPr>
      </w:pPr>
      <w:r>
        <w:rPr>
          <w:szCs w:val="28"/>
        </w:rPr>
        <w:t>−</w:t>
      </w:r>
      <w:r>
        <w:rPr>
          <w:rFonts w:hint="default"/>
          <w:szCs w:val="28"/>
          <w:lang w:val="en-US"/>
        </w:rPr>
        <w:t xml:space="preserve"> RodType </w:t>
      </w:r>
      <w:r>
        <w:rPr>
          <w:rFonts w:hint="default"/>
          <w:szCs w:val="28"/>
          <w:lang w:val="ru-RU"/>
        </w:rPr>
        <w:t xml:space="preserve">получил новое значение </w:t>
      </w:r>
      <w:r>
        <w:rPr>
          <w:rFonts w:hint="default"/>
          <w:szCs w:val="28"/>
          <w:lang w:val="en-US"/>
        </w:rPr>
        <w:t>Rectangle.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rFonts w:hint="default"/>
          <w:szCs w:val="28"/>
          <w:lang w:val="ru-RU"/>
        </w:rPr>
      </w:pPr>
      <w:r>
        <w:rPr>
          <w:rFonts w:hint="default"/>
          <w:szCs w:val="28"/>
          <w:lang w:val="ru-RU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rFonts w:hint="default"/>
          <w:szCs w:val="28"/>
          <w:lang w:val="en-US"/>
        </w:rPr>
        <w:t>MainForm, RodType, Parameters</w:t>
      </w:r>
      <w:r>
        <w:rPr>
          <w:rFonts w:hint="default"/>
          <w:szCs w:val="28"/>
          <w:lang w:val="ru-RU"/>
        </w:rPr>
        <w:t xml:space="preserve"> (на </w:t>
      </w:r>
      <w:r>
        <w:rPr>
          <w:rFonts w:hint="default"/>
          <w:szCs w:val="28"/>
          <w:lang w:val="en-US"/>
        </w:rPr>
        <w:t>UML-</w:t>
      </w:r>
      <w:r>
        <w:rPr>
          <w:rFonts w:hint="default"/>
          <w:szCs w:val="28"/>
          <w:lang w:val="ru-RU"/>
        </w:rPr>
        <w:t>диаграмме).</w:t>
      </w:r>
    </w:p>
    <w:p w14:paraId="3060314B">
      <w:pPr>
        <w:rPr>
          <w:rFonts w:hint="default"/>
          <w:szCs w:val="28"/>
          <w:lang w:val="ru-RU"/>
        </w:rPr>
      </w:pPr>
    </w:p>
    <w:p w14:paraId="0E537035">
      <w:pPr>
        <w:rPr>
          <w:b/>
          <w:bCs/>
        </w:rPr>
      </w:pPr>
      <w:bookmarkStart w:id="7" w:name="_Toc9887"/>
      <w:r>
        <w:rPr>
          <w:b/>
          <w:bCs/>
        </w:rPr>
        <w:br w:type="page"/>
      </w: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4" w:name="_GoBack"/>
      <w:bookmarkEnd w:id="14"/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неверном заполнении поля (выходе за допустимые пределы) текстбокс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заполненный текстбокс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Помимо этого при появлении в текстбоксе некорректных символов (буквы, символы) – текстбокс очищается и приобретает стандартный цвет.</w:t>
      </w:r>
    </w:p>
    <w:p w14:paraId="24962198">
      <w:pPr>
        <w:ind w:firstLine="708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  <w:lang w:val="ru-RU"/>
        </w:rPr>
        <w:t>Также</w:t>
      </w:r>
      <w:r>
        <w:rPr>
          <w:rFonts w:hint="default" w:eastAsia="SimSun"/>
          <w:szCs w:val="28"/>
          <w:lang w:val="ru-RU"/>
        </w:rPr>
        <w:t xml:space="preserve"> пользователю доступен выбор значений для двух комбобоксов и определение состояния чекбокса,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 xml:space="preserve">На рисунках </w:t>
      </w:r>
      <w:commentRangeStart w:id="4"/>
      <w:commentRangeStart w:id="5"/>
      <w:r>
        <w:t xml:space="preserve">9.1 </w:t>
      </w:r>
      <w:commentRangeEnd w:id="4"/>
      <w:r>
        <w:rPr>
          <w:rStyle w:val="7"/>
        </w:rPr>
        <w:commentReference w:id="4"/>
      </w:r>
      <w:commentRangeEnd w:id="5"/>
      <w:r>
        <w:commentReference w:id="5"/>
      </w:r>
      <w:r>
        <w:t>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</w:t>
      </w:r>
      <w:r>
        <w:rPr>
          <w:rFonts w:hint="default" w:eastAsia="SimSun"/>
          <w:szCs w:val="28"/>
          <w:lang w:val="ru-RU"/>
        </w:rPr>
        <w:t>.</w:t>
      </w:r>
      <w:r>
        <w:rPr>
          <w:rFonts w:eastAsia="SimSun"/>
          <w:szCs w:val="28"/>
        </w:rPr>
        <w:t>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>На рисунке 9.</w:t>
      </w:r>
      <w:r>
        <w:rPr>
          <w:rFonts w:hint="default"/>
          <w:lang w:val="ru-RU"/>
        </w:rPr>
        <w:t>13</w:t>
      </w:r>
      <w:r>
        <w:t xml:space="preserve"> представлено количество написанных </w:t>
      </w:r>
      <w:r>
        <w:rPr>
          <w:lang w:val="en-US"/>
        </w:rPr>
        <w:t>Unit</w:t>
      </w:r>
      <w:r>
        <w:t>-тестов,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3583940" cy="2040890"/>
            <wp:effectExtent l="0" t="0" r="10160" b="3810"/>
            <wp:docPr id="35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394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13</w:t>
      </w:r>
      <w:r>
        <w:t xml:space="preserve">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Таблица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–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commentRangeStart w:id="6"/>
            <w:commentRangeStart w:id="7"/>
            <w:r>
              <w:rPr>
                <w:rFonts w:eastAsia="SimSun"/>
                <w:szCs w:val="28"/>
              </w:rPr>
              <w:t xml:space="preserve">еттера </w:t>
            </w:r>
            <w:commentRangeEnd w:id="6"/>
            <w:r>
              <w:rPr>
                <w:rStyle w:val="7"/>
              </w:rPr>
              <w:commentReference w:id="6"/>
            </w:r>
            <w:commentRangeEnd w:id="7"/>
            <w:r>
              <w:commentReference w:id="7"/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14E3F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5C8ECAF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6D0C88AB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1D92D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0C360C1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62637BD7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94222F">
      <w:pPr>
        <w:ind w:firstLine="708"/>
        <w:rPr>
          <w:rFonts w:hint="default" w:eastAsia="SimSun"/>
          <w:sz w:val="24"/>
          <w:szCs w:val="24"/>
          <w:lang w:val="ru-RU"/>
        </w:rPr>
      </w:pPr>
      <w:r>
        <w:rPr>
          <w:rFonts w:eastAsia="SimSun"/>
          <w:sz w:val="24"/>
          <w:szCs w:val="24"/>
        </w:rPr>
        <w:t>Продолжение таблицы 9.</w:t>
      </w:r>
      <w:r>
        <w:rPr>
          <w:rFonts w:hint="default" w:eastAsia="SimSun"/>
          <w:sz w:val="24"/>
          <w:szCs w:val="24"/>
          <w:lang w:val="ru-RU"/>
        </w:rPr>
        <w:t>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commentRangeStart w:id="8"/>
            <w:commentRangeStart w:id="9"/>
            <w:r>
              <w:rPr>
                <w:rFonts w:eastAsia="SimSun"/>
                <w:sz w:val="24"/>
                <w:szCs w:val="24"/>
              </w:rPr>
              <w:t xml:space="preserve">еттера </w:t>
            </w:r>
            <w:commentRangeEnd w:id="8"/>
            <w:r>
              <w:rPr>
                <w:rStyle w:val="7"/>
              </w:rPr>
              <w:commentReference w:id="8"/>
            </w:r>
            <w:commentRangeEnd w:id="9"/>
            <w:r>
              <w:commentReference w:id="9"/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6A337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2BBBB7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7148B5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</w:t>
      </w:r>
      <w:r>
        <w:rPr>
          <w:rFonts w:hint="default" w:eastAsia="SimSun"/>
          <w:szCs w:val="28"/>
          <w:lang w:val="ru-RU"/>
        </w:rPr>
        <w:t>14</w:t>
      </w:r>
      <w:r>
        <w:rPr>
          <w:rFonts w:eastAsia="SimSun"/>
          <w:szCs w:val="28"/>
        </w:rPr>
        <w:t xml:space="preserve">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4162425" cy="1374775"/>
            <wp:effectExtent l="0" t="0" r="3175" b="9525"/>
            <wp:docPr id="33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14</w:t>
      </w:r>
      <w:r>
        <w:t xml:space="preserve"> </w:t>
      </w:r>
      <w:r>
        <w:rPr>
          <w:rFonts w:eastAsia="SimSun"/>
          <w:szCs w:val="28"/>
        </w:rPr>
        <w:t>– Результаты плагина</w:t>
      </w: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</w:t>
      </w:r>
      <w:r>
        <w:rPr>
          <w:rFonts w:hint="default"/>
          <w:lang w:val="ru-RU"/>
        </w:rPr>
        <w:t>15</w:t>
      </w:r>
      <w:r>
        <w:t xml:space="preserve"> представлен график зависимости памяти ОЗУ от построения модели, а на рисунке 9.</w:t>
      </w:r>
      <w:r>
        <w:rPr>
          <w:rFonts w:hint="default"/>
          <w:lang w:val="ru-RU"/>
        </w:rPr>
        <w:t>16</w:t>
      </w:r>
      <w:r>
        <w:t xml:space="preserve"> представлен график зависимости времени от построения модели.</w:t>
      </w:r>
    </w:p>
    <w:p w14:paraId="75064F93">
      <w:pPr>
        <w:ind w:firstLine="0"/>
        <w:jc w:val="center"/>
      </w:pPr>
      <w:commentRangeStart w:id="10"/>
      <w:commentRangeStart w:id="11"/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0"/>
      <w:r>
        <w:rPr>
          <w:rStyle w:val="7"/>
        </w:rPr>
        <w:commentReference w:id="10"/>
      </w:r>
      <w:commentRangeEnd w:id="11"/>
      <w:r>
        <w:commentReference w:id="11"/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15</w:t>
      </w:r>
      <w:r>
        <w:t xml:space="preserve">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jc w:val="both"/>
        <w:rPr>
          <w:rFonts w:hint="default" w:eastAsia="SimSun"/>
          <w:szCs w:val="28"/>
          <w:lang w:val="ru-RU"/>
        </w:rPr>
      </w:pPr>
      <w:r>
        <w:rPr>
          <w:rFonts w:hint="default" w:eastAsia="SimSun"/>
          <w:szCs w:val="28"/>
          <w:lang w:val="ru-RU"/>
        </w:rPr>
        <w:tab/>
      </w:r>
      <w:r>
        <w:rPr>
          <w:rFonts w:hint="default" w:eastAsia="SimSun"/>
          <w:szCs w:val="28"/>
          <w:lang w:val="ru-RU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«Компас»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</w:t>
      </w:r>
      <w:r>
        <w:rPr>
          <w:rFonts w:eastAsia="SimSun"/>
          <w:szCs w:val="28"/>
          <w:lang w:val="ru-RU"/>
        </w:rPr>
        <w:t>Чтобы</w:t>
      </w:r>
      <w:r>
        <w:rPr>
          <w:rFonts w:hint="default" w:eastAsia="SimSun"/>
          <w:szCs w:val="28"/>
          <w:lang w:val="ru-RU"/>
        </w:rPr>
        <w:t xml:space="preserve">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</w:t>
      </w:r>
      <w:r>
        <w:rPr>
          <w:rFonts w:hint="default" w:eastAsia="SimSun"/>
          <w:szCs w:val="28"/>
          <w:lang w:val="ru-RU"/>
        </w:rPr>
        <w:t>16</w:t>
      </w:r>
      <w:r>
        <w:rPr>
          <w:rFonts w:eastAsia="SimSun"/>
          <w:szCs w:val="28"/>
        </w:rPr>
        <w:t xml:space="preserve">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16T09:27:00Z" w:initials="KA">
    <w:p w14:paraId="452AFCB0">
      <w:pPr>
        <w:pStyle w:val="9"/>
      </w:pPr>
      <w:r>
        <w:annotationRef/>
      </w:r>
    </w:p>
  </w:comment>
  <w:comment w:id="1" w:author="Артём Мирошнико�" w:date="2024-12-16T22:58:09Z" w:initials="">
    <w:p w14:paraId="6C201175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2" w:author="Kalentyev Alexey" w:date="2024-12-16T09:29:00Z" w:initials="KA">
    <w:p w14:paraId="4D042CFA">
      <w:pPr>
        <w:pStyle w:val="9"/>
      </w:pPr>
      <w:r>
        <w:annotationRef/>
      </w:r>
    </w:p>
  </w:comment>
  <w:comment w:id="3" w:author="Артём Мирошнико�" w:date="2024-12-16T22:58:02Z" w:initials="">
    <w:p w14:paraId="107358E3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4" w:author="Kalentyev Alexey" w:date="2024-12-16T09:30:00Z" w:initials="KA">
    <w:p w14:paraId="41631B1D">
      <w:pPr>
        <w:pStyle w:val="9"/>
      </w:pPr>
      <w:r>
        <w:annotationRef/>
      </w:r>
    </w:p>
  </w:comment>
  <w:comment w:id="5" w:author="Артём Мирошнико�" w:date="2024-12-16T23:14:37Z" w:initials="">
    <w:p w14:paraId="7CDB1257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4-12-16T09:31:00Z" w:initials="KA">
    <w:p w14:paraId="38AEE931">
      <w:pPr>
        <w:pStyle w:val="9"/>
      </w:pPr>
      <w:r>
        <w:annotationRef/>
      </w:r>
    </w:p>
  </w:comment>
  <w:comment w:id="7" w:author="Артём Мирошнико�" w:date="2024-12-16T23:35:52Z" w:initials="">
    <w:p w14:paraId="5BF1ADE6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8" w:author="Kalentyev Alexey" w:date="2024-12-16T09:31:00Z" w:initials="KA">
    <w:p w14:paraId="47B065DF">
      <w:pPr>
        <w:pStyle w:val="9"/>
      </w:pPr>
      <w:r>
        <w:annotationRef/>
      </w:r>
    </w:p>
  </w:comment>
  <w:comment w:id="9" w:author="Артём Мирошнико�" w:date="2024-12-16T23:36:20Z" w:initials="">
    <w:p w14:paraId="5AC5F75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0" w:author="Kalentyev Alexey" w:date="2024-12-16T09:32:00Z" w:initials="KA">
    <w:p w14:paraId="560A1106">
      <w:pPr>
        <w:pStyle w:val="9"/>
      </w:pPr>
      <w:r>
        <w:t>Гипотеза по использовании ОЗУ</w:t>
      </w:r>
    </w:p>
  </w:comment>
  <w:comment w:id="11" w:author="Артём Мирошнико�" w:date="2024-12-16T23:36:43Z" w:initials="">
    <w:p w14:paraId="134F5A9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52AFCB0" w15:done="0"/>
  <w15:commentEx w15:paraId="6C201175" w15:done="0" w15:paraIdParent="452AFCB0"/>
  <w15:commentEx w15:paraId="4D042CFA" w15:done="0"/>
  <w15:commentEx w15:paraId="107358E3" w15:done="0" w15:paraIdParent="4D042CFA"/>
  <w15:commentEx w15:paraId="41631B1D" w15:done="0"/>
  <w15:commentEx w15:paraId="7CDB1257" w15:done="0" w15:paraIdParent="41631B1D"/>
  <w15:commentEx w15:paraId="38AEE931" w15:done="0"/>
  <w15:commentEx w15:paraId="5BF1ADE6" w15:done="0" w15:paraIdParent="38AEE931"/>
  <w15:commentEx w15:paraId="47B065DF" w15:done="0"/>
  <w15:commentEx w15:paraId="5AC5F75C" w15:done="0" w15:paraIdParent="47B065DF"/>
  <w15:commentEx w15:paraId="560A1106" w15:done="0"/>
  <w15:commentEx w15:paraId="134F5A9B" w15:done="0" w15:paraIdParent="560A1106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246E8A"/>
    <w:rsid w:val="0029467A"/>
    <w:rsid w:val="0043026D"/>
    <w:rsid w:val="00441A89"/>
    <w:rsid w:val="00601932"/>
    <w:rsid w:val="00642E59"/>
    <w:rsid w:val="0068748C"/>
    <w:rsid w:val="00703026"/>
    <w:rsid w:val="00726812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9EA0FA1"/>
    <w:rsid w:val="2C660704"/>
    <w:rsid w:val="2FE240A1"/>
    <w:rsid w:val="35BF400F"/>
    <w:rsid w:val="36543C4D"/>
    <w:rsid w:val="3843587C"/>
    <w:rsid w:val="393A3326"/>
    <w:rsid w:val="3A5F7292"/>
    <w:rsid w:val="3DC00434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4020</Words>
  <Characters>22916</Characters>
  <Lines>190</Lines>
  <Paragraphs>53</Paragraphs>
  <TotalTime>25</TotalTime>
  <ScaleCrop>false</ScaleCrop>
  <LinksUpToDate>false</LinksUpToDate>
  <CharactersWithSpaces>26883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2024-12-24T04:40:04Z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03BBF4507AC244C69FC45CCA28735315_13</vt:lpwstr>
  </property>
</Properties>
</file>