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7FC04AF2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9160" cy="4001770"/>
            <wp:effectExtent l="0" t="0" r="2540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extBoxHandleLength.Leave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extBoxHandleWidth.Leave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extBoxRodLength.Leave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extBoxRodWidth.Leave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DA10E9D">
      <w:pPr>
        <w:ind w:right="59" w:firstLine="708"/>
      </w:pPr>
    </w:p>
    <w:p w14:paraId="71FDD16D">
      <w:pPr>
        <w:ind w:right="59" w:firstLine="708"/>
      </w:pPr>
    </w:p>
    <w:p w14:paraId="736F5207">
      <w:pPr>
        <w:ind w:right="59" w:firstLine="708"/>
      </w:pPr>
      <w:r>
        <w:t>Таблица 3.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5" w:type="dxa"/>
            <w:vAlign w:val="top"/>
          </w:tcPr>
          <w:p w14:paraId="324F629B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Название</w:t>
            </w:r>
          </w:p>
        </w:tc>
        <w:tc>
          <w:tcPr>
            <w:tcW w:w="3216" w:type="dxa"/>
            <w:vAlign w:val="top"/>
          </w:tcPr>
          <w:p w14:paraId="7648C4AF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Тип данных</w:t>
            </w:r>
          </w:p>
        </w:tc>
        <w:tc>
          <w:tcPr>
            <w:tcW w:w="3216" w:type="dxa"/>
            <w:vAlign w:val="top"/>
          </w:tcPr>
          <w:p w14:paraId="040A789D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5" w:type="dxa"/>
          </w:tcPr>
          <w:p w14:paraId="2B4EDCF5">
            <w:pPr>
              <w:ind w:right="59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3216" w:type="dxa"/>
          </w:tcPr>
          <w:p w14:paraId="3779F959">
            <w:pPr>
              <w:ind w:left="0" w:leftChars="0" w:right="59" w:firstLine="0" w:firstLineChars="0"/>
              <w:jc w:val="center"/>
              <w:rPr>
                <w:vertAlign w:val="baseline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216" w:type="dxa"/>
          </w:tcPr>
          <w:p w14:paraId="3AEA3BDA">
            <w:pPr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Хранит в себе словарь параметров</w:t>
            </w:r>
          </w:p>
        </w:tc>
      </w:tr>
      <w:tr w14:paraId="15B99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5" w:type="dxa"/>
          </w:tcPr>
          <w:p w14:paraId="6926AD66">
            <w:pPr>
              <w:ind w:right="59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_exception</w:t>
            </w:r>
          </w:p>
        </w:tc>
        <w:tc>
          <w:tcPr>
            <w:tcW w:w="3216" w:type="dxa"/>
          </w:tcPr>
          <w:p w14:paraId="1776DBF0">
            <w:pPr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3216" w:type="dxa"/>
          </w:tcPr>
          <w:p w14:paraId="0CCA3E33">
            <w:pPr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Хранит в себе текст ошибки</w:t>
            </w:r>
          </w:p>
        </w:tc>
      </w:tr>
    </w:tbl>
    <w:p w14:paraId="0EA7149B">
      <w:pPr>
        <w:ind w:left="0" w:leftChars="0" w:right="59" w:firstLine="0" w:firstLineChars="0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  <w:vAlign w:val="top"/>
          </w:tcPr>
          <w:p w14:paraId="230CB353">
            <w:pPr>
              <w:widowControl w:val="0"/>
              <w:ind w:right="59" w:rightChars="0" w:firstLine="0" w:firstLineChars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ValidateParameters()</w:t>
            </w:r>
          </w:p>
        </w:tc>
        <w:tc>
          <w:tcPr>
            <w:tcW w:w="1732" w:type="dxa"/>
            <w:vAlign w:val="top"/>
          </w:tcPr>
          <w:p w14:paraId="7CF36D6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Parameters()</w:t>
            </w:r>
          </w:p>
        </w:tc>
        <w:tc>
          <w:tcPr>
            <w:tcW w:w="1732" w:type="dxa"/>
            <w:vAlign w:val="top"/>
          </w:tcPr>
          <w:p w14:paraId="5791E1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</w:pPr>
            <w:r>
              <w:t>Хранит в себе словарь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SetParameters()</w:t>
            </w:r>
          </w:p>
        </w:tc>
        <w:tc>
          <w:tcPr>
            <w:tcW w:w="1732" w:type="dxa"/>
            <w:vAlign w:val="top"/>
          </w:tcPr>
          <w:p w14:paraId="6EBB016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Устанавливает параметры </w:t>
            </w:r>
          </w:p>
        </w:tc>
      </w:tr>
      <w:tr w14:paraId="240B9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E43CCEC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GetException()</w:t>
            </w:r>
          </w:p>
        </w:tc>
        <w:tc>
          <w:tcPr>
            <w:tcW w:w="1732" w:type="dxa"/>
            <w:vAlign w:val="top"/>
          </w:tcPr>
          <w:p w14:paraId="670F90C3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333C598D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2605" w:type="dxa"/>
          </w:tcPr>
          <w:p w14:paraId="02C4317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Возвращает текст ошибки</w:t>
            </w:r>
          </w:p>
        </w:tc>
      </w:tr>
    </w:tbl>
    <w:p w14:paraId="25B90BA4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54B4592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left="0" w:leftChars="0" w:right="59" w:firstLine="0" w:firstLineChars="0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left="0" w:leftChars="0" w:right="59" w:firstLine="708" w:firstLineChars="0"/>
      </w:pPr>
    </w:p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bottom w:val="nil"/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bottom w:val="nil"/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bookmarkStart w:id="0" w:name="_GoBack"/>
            <w:bookmarkEnd w:id="0"/>
            <w:r>
              <w:t>Создание эскиза</w:t>
            </w:r>
          </w:p>
        </w:tc>
      </w:tr>
    </w:tbl>
    <w:p w14:paraId="3BCA7618">
      <w:pPr>
        <w:ind w:right="59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1E132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26BF532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0B3C18C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BCDACC">
            <w:pPr>
              <w:widowControl w:val="0"/>
              <w:ind w:right="59" w:rightChars="0" w:firstLine="0" w:firstLineChars="0"/>
              <w:jc w:val="center"/>
            </w:pPr>
            <w:r>
              <w:t>Описание</w:t>
            </w:r>
          </w:p>
        </w:tc>
      </w:tr>
      <w:tr w14:paraId="147B3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1FCA7D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49A7A6D1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6055AF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65AA7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4769FF44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D8546E4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01EC7102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4434F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2F2D8FA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AAD540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E806519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6E9DD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F6816A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0333DA2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6D695B84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3A03B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7D987A83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7D624DEC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DC273CD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rPr>
          <w:lang w:val="en-US"/>
        </w:rP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1699</Words>
  <Characters>9689</Characters>
  <Lines>80</Lines>
  <Paragraphs>22</Paragraphs>
  <TotalTime>4</TotalTime>
  <ScaleCrop>false</ScaleCrop>
  <LinksUpToDate>false</LinksUpToDate>
  <CharactersWithSpaces>11366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2024-10-27T05:05:36Z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