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2217ED20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ru-RU"/>
        </w:rPr>
        <w:t>5</w:t>
      </w:r>
      <w:r>
        <w:t xml:space="preserve"> страниц, 25 рис</w:t>
      </w:r>
      <w:bookmarkStart w:id="14" w:name="_GoBack"/>
      <w:bookmarkEnd w:id="14"/>
      <w:r>
        <w:t>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165090" cy="5287645"/>
            <wp:effectExtent l="0" t="0" r="3810" b="8255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5090" cy="528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Parameter,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rFonts w:hint="default"/>
                <w:szCs w:val="28"/>
                <w:lang w:val="en-US"/>
              </w:rPr>
              <w:t>ABSDEVIATION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DIAMETER</w:t>
            </w:r>
            <w:r>
              <w:rPr>
                <w:rFonts w:hint="default"/>
                <w:szCs w:val="28"/>
                <w:lang w:val="en-US"/>
              </w:rPr>
              <w:t>DEVIATION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наконечника (плоский/крестообразный/квадратный)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1680"/>
        <w:gridCol w:w="2302"/>
        <w:gridCol w:w="333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8" w:hRule="atLeast"/>
        </w:trPr>
        <w:tc>
          <w:tcPr>
            <w:tcW w:w="2046" w:type="dxa"/>
          </w:tcPr>
          <w:p w14:paraId="01B58F17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680" w:type="dxa"/>
          </w:tcPr>
          <w:p w14:paraId="2D3F110A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2302" w:type="dxa"/>
          </w:tcPr>
          <w:p w14:paraId="677D828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Выходные параметры</w:t>
            </w:r>
          </w:p>
        </w:tc>
        <w:tc>
          <w:tcPr>
            <w:tcW w:w="3335" w:type="dxa"/>
          </w:tcPr>
          <w:p w14:paraId="55045F7C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8" w:hRule="atLeast"/>
        </w:trPr>
        <w:tc>
          <w:tcPr>
            <w:tcW w:w="2046" w:type="dxa"/>
          </w:tcPr>
          <w:p w14:paraId="7E0EC5A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ValidateParameters</w:t>
            </w:r>
          </w:p>
        </w:tc>
        <w:tc>
          <w:tcPr>
            <w:tcW w:w="1680" w:type="dxa"/>
          </w:tcPr>
          <w:p w14:paraId="17C15E2E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</w:t>
            </w:r>
          </w:p>
        </w:tc>
        <w:tc>
          <w:tcPr>
            <w:tcW w:w="2302" w:type="dxa"/>
          </w:tcPr>
          <w:p w14:paraId="7046BB5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48DCE0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50608AD5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SetParameter</w:t>
            </w:r>
          </w:p>
        </w:tc>
        <w:tc>
          <w:tcPr>
            <w:tcW w:w="1680" w:type="dxa"/>
          </w:tcPr>
          <w:p w14:paraId="22BAEBDE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ParameterType, Parameter</w:t>
            </w:r>
          </w:p>
        </w:tc>
        <w:tc>
          <w:tcPr>
            <w:tcW w:w="2302" w:type="dxa"/>
          </w:tcPr>
          <w:p w14:paraId="77F758F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71E151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8" w:hRule="atLeast"/>
        </w:trPr>
        <w:tc>
          <w:tcPr>
            <w:tcW w:w="2046" w:type="dxa"/>
          </w:tcPr>
          <w:p w14:paraId="0BE9A42B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AllParameters</w:t>
            </w:r>
          </w:p>
        </w:tc>
        <w:tc>
          <w:tcPr>
            <w:tcW w:w="1680" w:type="dxa"/>
          </w:tcPr>
          <w:p w14:paraId="1D4BC1F1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7E5BF67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3335" w:type="dxa"/>
          </w:tcPr>
          <w:p w14:paraId="290C259A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Свойство для поля </w:t>
            </w:r>
            <w:r>
              <w:rPr>
                <w:szCs w:val="28"/>
                <w:lang w:val="en-US"/>
              </w:rPr>
              <w:t>_parameters</w:t>
            </w:r>
          </w:p>
          <w:p w14:paraId="189A6B5D">
            <w:pPr>
              <w:widowControl w:val="0"/>
              <w:ind w:right="59" w:firstLine="0"/>
              <w:jc w:val="center"/>
              <w:rPr>
                <w:rFonts w:hint="default"/>
                <w:szCs w:val="28"/>
                <w:lang w:val="ru-RU"/>
              </w:rPr>
            </w:pPr>
            <w:r>
              <w:rPr>
                <w:rFonts w:hint="default"/>
                <w:szCs w:val="28"/>
                <w:lang w:val="en-US"/>
              </w:rPr>
              <w:t xml:space="preserve">(set </w:t>
            </w:r>
            <w:r>
              <w:rPr>
                <w:rFonts w:hint="default"/>
                <w:szCs w:val="28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5" w:hRule="atLeast"/>
        </w:trPr>
        <w:tc>
          <w:tcPr>
            <w:tcW w:w="2046" w:type="dxa"/>
          </w:tcPr>
          <w:p w14:paraId="1865A08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ShapeOfRod</w:t>
            </w:r>
          </w:p>
        </w:tc>
        <w:tc>
          <w:tcPr>
            <w:tcW w:w="1680" w:type="dxa"/>
          </w:tcPr>
          <w:p w14:paraId="0DCBEE01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63764E1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3335" w:type="dxa"/>
          </w:tcPr>
          <w:p w14:paraId="4C9F9FC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2" w:hRule="atLeast"/>
        </w:trPr>
        <w:tc>
          <w:tcPr>
            <w:tcW w:w="2046" w:type="dxa"/>
          </w:tcPr>
          <w:p w14:paraId="4C368E2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ShapeOfHandle</w:t>
            </w:r>
          </w:p>
        </w:tc>
        <w:tc>
          <w:tcPr>
            <w:tcW w:w="1680" w:type="dxa"/>
          </w:tcPr>
          <w:p w14:paraId="63F7A4BD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2E77C03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3335" w:type="dxa"/>
          </w:tcPr>
          <w:p w14:paraId="431540B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30C34CF4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1680" w:type="dxa"/>
          </w:tcPr>
          <w:p w14:paraId="556654F8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−</w:t>
            </w:r>
          </w:p>
        </w:tc>
        <w:tc>
          <w:tcPr>
            <w:tcW w:w="2302" w:type="dxa"/>
          </w:tcPr>
          <w:p w14:paraId="505BAC8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3335" w:type="dxa"/>
          </w:tcPr>
          <w:p w14:paraId="2063C27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  <w:rPr>
          <w:rFonts w:hint="default"/>
          <w:lang w:val="ru-RU"/>
        </w:rPr>
      </w:pPr>
      <w:r>
        <w:tab/>
      </w:r>
      <w:r>
        <w:rPr>
          <w:rFonts w:hint="default"/>
          <w:lang w:val="ru-RU"/>
        </w:rP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7.6 − Методы класса </w:t>
      </w:r>
      <w:r>
        <w:rPr>
          <w:sz w:val="28"/>
          <w:szCs w:val="28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эскиза (на какой плоскости), </w:t>
            </w: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[] глубина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начало для сбора точек в двумерном массиве,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-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-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10913615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</w:p>
    <w:p w14:paraId="0647CF11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>: получил 8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4 константных </w:t>
      </w:r>
      <w:r>
        <w:rPr>
          <w:szCs w:val="28"/>
          <w:lang w:val="en-US"/>
        </w:rPr>
        <w:t>FOURPLE</w:t>
      </w:r>
      <w:r>
        <w:rPr>
          <w:szCs w:val="28"/>
        </w:rPr>
        <w:t xml:space="preserve">, </w:t>
      </w:r>
      <w:r>
        <w:rPr>
          <w:szCs w:val="28"/>
          <w:lang w:val="en-US"/>
        </w:rPr>
        <w:t>DIF</w:t>
      </w:r>
      <w:r>
        <w:rPr>
          <w:szCs w:val="28"/>
        </w:rPr>
        <w:t xml:space="preserve">, </w:t>
      </w:r>
      <w:r>
        <w:rPr>
          <w:szCs w:val="28"/>
          <w:lang w:val="en-US"/>
        </w:rPr>
        <w:t>DIAMETERDIF</w:t>
      </w:r>
      <w:r>
        <w:rPr>
          <w:szCs w:val="28"/>
        </w:rPr>
        <w:t xml:space="preserve">, </w:t>
      </w:r>
      <w:r>
        <w:rPr>
          <w:szCs w:val="28"/>
          <w:lang w:val="en-US"/>
        </w:rPr>
        <w:t>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класса.</w:t>
      </w:r>
    </w:p>
    <w:p w14:paraId="0BDF83B4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условий.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</w:p>
    <w:p w14:paraId="3060314B">
      <w:pPr>
        <w:rPr>
          <w:szCs w:val="28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4305</Words>
  <Characters>24542</Characters>
  <Lines>204</Lines>
  <Paragraphs>57</Paragraphs>
  <TotalTime>84</TotalTime>
  <ScaleCrop>false</ScaleCrop>
  <LinksUpToDate>false</LinksUpToDate>
  <CharactersWithSpaces>28790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2025-01-05T14:16:55Z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