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75B6"/>
          <w:spacing w:val="10"/>
          <w:sz w:val="26"/>
          <w:szCs w:val="26"/>
        </w:rPr>
        <w:t xml:space="preserve">SOFTWARE REQUIREMENTS SPECIFICATION</w:t>
      </w:r>
    </w:p>
    <w:p>
      <w:pPr>
        <w:spacing w:before="200"/>
        <w:jc w:val="center"/>
      </w:pPr>
      <w:r>
        <w:rPr>
          <w:b/>
          <w:bCs/>
          <w:color w:val="1F3864"/>
          <w:sz w:val="52"/>
          <w:szCs w:val="52"/>
        </w:rPr>
        <w:t xml:space="preserve">AI-Powered Fraud Detection System</w:t>
      </w:r>
    </w:p>
    <w:p>
      <w:pPr>
        <w:spacing w:after="100" w:before="100"/>
        <w:jc w:val="center"/>
      </w:pPr>
      <w:r>
        <w:rPr>
          <w:color w:val="595959"/>
          <w:sz w:val="30"/>
          <w:szCs w:val="30"/>
        </w:rPr>
        <w:t xml:space="preserve">for Digital Banking Transactions</w:t>
      </w:r>
    </w:p>
    <w:p>
      <w:pPr>
        <w:spacing w:after="500" w:before="80"/>
        <w:jc w:val="center"/>
      </w:pPr>
      <w:r>
        <w:rPr>
          <w:i/>
          <w:iCs/>
          <w:color w:val="595959"/>
          <w:sz w:val="20"/>
          <w:szCs w:val="20"/>
        </w:rPr>
        <w:t xml:space="preserve">Hybrid Detection Architecture: Rule-Based Engine, Machine Learning Models, and AI Ensemble/Decisioning Layer</w:t>
      </w:r>
    </w:p>
    <w:p>
      <w:pPr>
        <w:spacing w:before="600"/>
        <w:jc w:val="center"/>
      </w:pPr>
      <w:r>
        <w:rPr>
          <w:color w:val="595959"/>
          <w:sz w:val="21"/>
          <w:szCs w:val="21"/>
        </w:rPr>
        <w:t xml:space="preserve">Document Type: Software Requirements Specification (SRS)</w:t>
      </w:r>
    </w:p>
    <w:p>
      <w:pPr>
        <w:spacing w:before="100"/>
        <w:jc w:val="center"/>
      </w:pPr>
      <w:r>
        <w:rPr>
          <w:color w:val="595959"/>
          <w:sz w:val="21"/>
          <w:szCs w:val="21"/>
        </w:rPr>
        <w:t xml:space="preserve">Conforms to the structure of IEEE 830 / ISO/IEC/IEEE 29148 SRS guidance</w:t>
      </w:r>
    </w:p>
    <w:p>
      <w:pPr>
        <w:spacing w:before="100"/>
        <w:jc w:val="center"/>
      </w:pPr>
      <w:r>
        <w:rPr>
          <w:color w:val="595959"/>
          <w:sz w:val="21"/>
          <w:szCs w:val="21"/>
        </w:rPr>
        <w:t xml:space="preserve">Version: 1.0 — Draft</w:t>
      </w:r>
    </w:p>
    <w:p>
      <w:pPr>
        <w:spacing w:before="100"/>
        <w:jc w:val="center"/>
      </w:pPr>
      <w:r>
        <w:rPr>
          <w:color w:val="595959"/>
          <w:sz w:val="21"/>
          <w:szCs w:val="21"/>
        </w:rPr>
        <w:t xml:space="preserve">Date: June 2026</w:t>
      </w:r>
    </w:p>
    <w:p>
      <w:pPr>
        <w:spacing w:before="400"/>
        <w:jc w:val="center"/>
      </w:pPr>
      <w:r>
        <w:rPr>
          <w:i/>
          <w:iCs/>
          <w:color w:val="595959"/>
          <w:sz w:val="18"/>
          <w:szCs w:val="18"/>
        </w:rPr>
        <w:t xml:space="preserve">All factual claims about industry practice, regulation, and architecture in this document are drawn from the sources listed in Section 9 (References). Figures used as illustrative targets are marked as such and should be validated against the organization's own data before being treated as commitments.</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Bdr>
          <w:bottom w:val="single" w:color="2E75B6" w:sz="6" w:space="1"/>
        </w:pBdr>
        <w:spacing w:after="240" w:before="80"/>
      </w:pPr>
    </w:p>
    <w:p>
      <w:pPr>
        <w:pStyle w:val="Heading2"/>
      </w:pPr>
      <w:r>
        <w:t xml:space="preserve">1.1 Purpose</w:t>
      </w:r>
    </w:p>
    <w:p>
      <w:pPr>
        <w:spacing w:after="160" w:line="276"/>
      </w:pPr>
      <w:r>
        <w:t xml:space="preserve">This Software Requirements Specification (SRS) defines the functional and non-functional requirements for an AI-Powered Fraud Detection System (referred to throughout as “the System”) intended for use by a retail/digital bank to monitor transactions across mobile banking, internet banking, ATM, POS, QR payment, card, and agency banking channels.</w:t>
      </w:r>
    </w:p>
    <w:p>
      <w:pPr>
        <w:spacing w:after="160" w:line="276"/>
      </w:pPr>
      <w:r>
        <w:t xml:space="preserve">This document follows the section structure recommended by IEEE Std 830 for software requirements specifications, the long-standing reference guide for SRS content and quality, later superseded by ISO/IEC/IEEE 29148 [1].</w:t>
      </w:r>
    </w:p>
    <w:p>
      <w:pPr>
        <w:spacing w:after="160" w:line="276"/>
      </w:pPr>
      <w:r>
        <w:t xml:space="preserve">The defining characteristic of this System, distinct from a single-method fraud filter, is that it is built around three cooperating detection layers, each documented in detail in Section 3:</w:t>
      </w:r>
    </w:p>
    <w:p>
      <w:pPr>
        <w:pStyle w:val="ListParagraph"/>
        <w:numPr>
          <w:ilvl w:val="0"/>
          <w:numId w:val="2"/>
        </w:numPr>
        <w:spacing w:after="80"/>
      </w:pPr>
      <w:r>
        <w:t xml:space="preserve">A rule-based engine that applies deterministic, analyst-defined conditions to every transaction.</w:t>
      </w:r>
    </w:p>
    <w:p>
      <w:pPr>
        <w:pStyle w:val="ListParagraph"/>
        <w:numPr>
          <w:ilvl w:val="0"/>
          <w:numId w:val="2"/>
        </w:numPr>
        <w:spacing w:after="80"/>
      </w:pPr>
      <w:r>
        <w:t xml:space="preserve">A machine learning layer that scores transactions using supervised and unsupervised models trained on historical data.</w:t>
      </w:r>
    </w:p>
    <w:p>
      <w:pPr>
        <w:pStyle w:val="ListParagraph"/>
        <w:numPr>
          <w:ilvl w:val="0"/>
          <w:numId w:val="2"/>
        </w:numPr>
        <w:spacing w:after="80"/>
      </w:pPr>
      <w:r>
        <w:t xml:space="preserve">An AI ensemble/decisioning layer that combines the outputs of (1) and (2), along with contextual risk signals, into a single actionable decision.</w:t>
      </w:r>
    </w:p>
    <w:p>
      <w:pPr>
        <w:pStyle w:val="Heading2"/>
      </w:pPr>
      <w:r>
        <w:t xml:space="preserve">1.2 Scope</w:t>
      </w:r>
    </w:p>
    <w:p>
      <w:pPr>
        <w:spacing w:after="160" w:line="276"/>
      </w:pPr>
      <w:r>
        <w:t xml:space="preserve">The System monitors digital banking transactions in real time or near-real time, assigns each transaction a fraud risk classification, and triggers an automated response (approve, hold, reject, or freeze) consistent with that classification. It also provides supporting capabilities for fraud analyst case review, alerting, model lifecycle management, and regulatory/compliance reporting.</w:t>
      </w:r>
    </w:p>
    <w:p>
      <w:pPr>
        <w:spacing w:after="160" w:line="276"/>
      </w:pPr>
      <w:r>
        <w:t xml:space="preserve">The System is designed around patterns documented in real deployed architectures — including AWS's published reference architecture for bank fraud detection, which combines a managed ML fraud-detection service with a rules-based analytics layer and a graph database for anti-money-laundering pattern detection [2] — rather than a single proprietary design. Section 7 (System Architecture) maps the System's components against this reference pattern.</w:t>
      </w:r>
    </w:p>
    <w:p>
      <w:pPr>
        <w:spacing w:after="160" w:line="276"/>
      </w:pPr>
      <w:r>
        <w:t xml:space="preserve">Out of scope for this document: core banking ledger functionality, payment switching/settlement logic, and the bank's general identity and access management platform, except where the System must integrate with them.</w:t>
      </w:r>
    </w:p>
    <w:p>
      <w:pPr>
        <w:pStyle w:val="Heading2"/>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Term</w:t>
            </w:r>
          </w:p>
        </w:tc>
        <w:tc>
          <w:tcPr>
            <w:tcW w:type="dxa" w:w="71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Definition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AML</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Anti-Money Laundering — regulatory framework requiring banks to detect and report transactions linked to laundering of illicit funds [3][4].</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ATO</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Account Takeover — fraud in which an attacker gains unauthorized control of a customer account using stolen credentials, phishing, or social engineering [2].</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FPR</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False Positive Rate — proportion of flagged transactions that are subsequently confirmed legitimate.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KYC</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Know Your Customer — identity verification and risk profiling performed at onboarding and on an ongoing basis [5].</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PCI DSS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Payment Card Industry Data Security Standard — security standard for systems that store, process, or transmit cardholder data [6].</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SAR</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Suspicious Activity Report — formal report filed with financial intelligence authorities (e.g., FinCEN in the US) when suspected fraud or money laundering is identified [6].</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SHAP</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SHapley Additive exPlanations — a model-explainability technique used to attribute a model's output to individual input features [6][7].</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SRS</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Software Requirements Specification.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XGBoost / LightGBM</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Gradient-boosted decision tree algorithms widely used as supervised fraud-classification models [8][9].</w:t>
            </w:r>
          </w:p>
        </w:tc>
      </w:tr>
    </w:tbl>
    <w:p>
      <w:pPr>
        <w:pStyle w:val="Heading2"/>
      </w:pPr>
      <w:r>
        <w:t xml:space="preserve">1.4 References</w:t>
      </w:r>
    </w:p>
    <w:p>
      <w:pPr>
        <w:spacing w:after="160" w:line="276"/>
      </w:pPr>
      <w:r>
        <w:t xml:space="preserve">Full citation details for all numbered references ([1]–[14]) appear in Section 9. In-text citations throughout this document correspond to that reference list.</w:t>
      </w:r>
    </w:p>
    <w:p>
      <w:pPr>
        <w:pStyle w:val="Heading2"/>
      </w:pPr>
      <w:r>
        <w:t xml:space="preserve">1.5 Overview</w:t>
      </w:r>
    </w:p>
    <w:p>
      <w:pPr>
        <w:spacing w:after="160" w:line="276"/>
      </w:pPr>
      <w:r>
        <w:t xml:space="preserve">Section 2 describes the System at a high level: context, user classes, constraints, and assumptions. Section 3 is the core of this specification — it defines requirements separately for each of the three detection approaches (rule-based, machine learning, and AI ensemble), plus the shared requirements for case management, alerting, and reporting. Section 4 covers external interface requirements. Section 5 specifies non-functional requirements (performance, security, compliance). Section 6 covers data requirements. Section 7 documents system architecture. Section 8 lists assumptions and dependencies. Section 9 is the reference list.</w:t>
      </w:r>
    </w:p>
    <w:p>
      <w:r>
        <w:br w:type="page"/>
      </w:r>
    </w:p>
    <w:p>
      <w:pPr>
        <w:pStyle w:val="Heading1"/>
      </w:pPr>
      <w:r>
        <w:t xml:space="preserve">2. Overall Description</w:t>
      </w:r>
    </w:p>
    <w:p>
      <w:pPr>
        <w:pBdr>
          <w:bottom w:val="single" w:color="2E75B6" w:sz="6" w:space="1"/>
        </w:pBdr>
        <w:spacing w:after="240" w:before="80"/>
      </w:pPr>
    </w:p>
    <w:p>
      <w:pPr>
        <w:pStyle w:val="Heading2"/>
      </w:pPr>
      <w:r>
        <w:t xml:space="preserve">2.1 Product Perspective</w:t>
      </w:r>
    </w:p>
    <w:p>
      <w:pPr>
        <w:spacing w:after="160" w:line="276"/>
      </w:pPr>
      <w:r>
        <w:t xml:space="preserve">The System is a component within the bank's broader digital banking ecosystem. It does not replace the core banking system, payment switch, or KYC/onboarding platform; it sits alongside them, consuming transaction events and customer/account context, and returning a risk decision before or shortly after a transaction is committed.</w:t>
      </w:r>
    </w:p>
    <w:p>
      <w:pPr>
        <w:spacing w:after="160" w:line="276"/>
      </w:pPr>
      <w:r>
        <w:t xml:space="preserve">This product perspective mirrors deployed industry patterns: published architectures position the fraud detection system as an event-driven layer that receives transaction and session events through an API gateway, evaluates them against ML models and business rules, and publishes a decision to a fraud event bus for downstream consumption by case management and notification systems [2].</w:t>
      </w:r>
    </w:p>
    <w:p>
      <w:pPr>
        <w:pStyle w:val="Heading2"/>
      </w:pPr>
      <w:r>
        <w:t xml:space="preserve">2.2 Product Functions (Summary)</w:t>
      </w:r>
    </w:p>
    <w:p>
      <w:pPr>
        <w:pStyle w:val="ListParagraph"/>
        <w:numPr>
          <w:ilvl w:val="0"/>
          <w:numId w:val="3"/>
        </w:numPr>
        <w:spacing w:after="80"/>
      </w:pPr>
      <w:r>
        <w:t xml:space="preserve">Real-time and batch transaction monitoring across digital banking channels.</w:t>
      </w:r>
    </w:p>
    <w:p>
      <w:pPr>
        <w:pStyle w:val="ListParagraph"/>
        <w:numPr>
          <w:ilvl w:val="0"/>
          <w:numId w:val="3"/>
        </w:numPr>
        <w:spacing w:after="80"/>
      </w:pPr>
      <w:r>
        <w:t xml:space="preserve">Three-layer fraud detection: rule-based engine, machine learning models, and an AI ensemble/decision layer (full detail in Section 3).</w:t>
      </w:r>
    </w:p>
    <w:p>
      <w:pPr>
        <w:pStyle w:val="ListParagraph"/>
        <w:numPr>
          <w:ilvl w:val="0"/>
          <w:numId w:val="3"/>
        </w:numPr>
        <w:spacing w:after="80"/>
      </w:pPr>
      <w:r>
        <w:t xml:space="preserve">Risk-based decisioning: approve, approve-with-monitoring, hold for review, reject, or freeze account.</w:t>
      </w:r>
    </w:p>
    <w:p>
      <w:pPr>
        <w:pStyle w:val="ListParagraph"/>
        <w:numPr>
          <w:ilvl w:val="0"/>
          <w:numId w:val="3"/>
        </w:numPr>
        <w:spacing w:after="80"/>
      </w:pPr>
      <w:r>
        <w:t xml:space="preserve">Case management workflow for fraud analysts.</w:t>
      </w:r>
    </w:p>
    <w:p>
      <w:pPr>
        <w:pStyle w:val="ListParagraph"/>
        <w:numPr>
          <w:ilvl w:val="0"/>
          <w:numId w:val="3"/>
        </w:numPr>
        <w:spacing w:after="80"/>
      </w:pPr>
      <w:r>
        <w:t xml:space="preserve">Alerting via SMS, email, and push notification.</w:t>
      </w:r>
    </w:p>
    <w:p>
      <w:pPr>
        <w:pStyle w:val="ListParagraph"/>
        <w:numPr>
          <w:ilvl w:val="0"/>
          <w:numId w:val="3"/>
        </w:numPr>
        <w:spacing w:after="80"/>
      </w:pPr>
      <w:r>
        <w:t xml:space="preserve">Dashboards and scheduled/regulatory reporting.</w:t>
      </w:r>
    </w:p>
    <w:p>
      <w:pPr>
        <w:pStyle w:val="ListParagraph"/>
        <w:numPr>
          <w:ilvl w:val="0"/>
          <w:numId w:val="3"/>
        </w:numPr>
        <w:spacing w:after="80"/>
      </w:pPr>
      <w:r>
        <w:t xml:space="preserve">Model lifecycle management: training, evaluation, deployment, monitoring, and retraining.</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User Class</w:t>
            </w:r>
          </w:p>
        </w:tc>
        <w:tc>
          <w:tcPr>
            <w:tcW w:type="dxa" w:w="66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Description / Interaction with the System</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Customer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Initiates transactions; receives alerts and step-up verification requests when a transaction is held.</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Fraud Analyst</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Reviews flagged transactions and cases; confirms or dismisses fraud; the System's case management module (Section 3.4) is built for this role.</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Risk Officer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Sets and tunes rule thresholds and risk-score bands used by the rule engine and decision logic.</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Compliance Officer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Consumes AML/KYC-relevant outputs and regulatory reports; responsible for SAR filing decisions [4][6].</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Data Scientist / ML Engineer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Trains, evaluates, deploys, and retrains the machine learning models in Section 3.2.</w:t>
            </w:r>
          </w:p>
        </w:tc>
      </w:tr>
      <w:tr>
        <w:tc>
          <w:tcPr>
            <w:tcW w:type="dxa" w:w="2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System Administrator</w:t>
            </w:r>
          </w:p>
        </w:tc>
        <w:tc>
          <w:tcPr>
            <w:tcW w:type="dxa" w:w="66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Manages access control, configuration, and platform availability.</w:t>
            </w:r>
          </w:p>
        </w:tc>
      </w:tr>
    </w:tbl>
    <w:p>
      <w:pPr>
        <w:pStyle w:val="Heading2"/>
      </w:pPr>
      <w:r>
        <w:t xml:space="preserve">2.4 Operating Environment</w:t>
      </w:r>
    </w:p>
    <w:p>
      <w:pPr>
        <w:spacing w:after="160" w:line="276"/>
      </w:pPr>
      <w:r>
        <w:t xml:space="preserve">The System is designed to be cloud-deployable (AWS, Azure, or GCP) or run on-premises where data residency requirements apply, consistent with the hybrid on-premise/cloud deployment pattern many financial institutions use to balance sensitive-data handling with the scalability of managed AI services [10].</w:t>
      </w:r>
    </w:p>
    <w:p>
      <w:pPr>
        <w:pStyle w:val="Heading2"/>
      </w:pPr>
      <w:r>
        <w:t xml:space="preserve">2.5 Design and Implementation Constraints</w:t>
      </w:r>
    </w:p>
    <w:p>
      <w:pPr>
        <w:pStyle w:val="ListParagraph"/>
        <w:numPr>
          <w:ilvl w:val="0"/>
          <w:numId w:val="3"/>
        </w:numPr>
        <w:spacing w:after="80"/>
      </w:pPr>
      <w:r>
        <w:t xml:space="preserve">Must comply with PCI DSS for any component that touches cardholder data [6].</w:t>
      </w:r>
    </w:p>
    <w:p>
      <w:pPr>
        <w:pStyle w:val="ListParagraph"/>
        <w:numPr>
          <w:ilvl w:val="0"/>
          <w:numId w:val="3"/>
        </w:numPr>
        <w:spacing w:after="80"/>
      </w:pPr>
      <w:r>
        <w:t xml:space="preserve">Must support AML/KYC obligations, including ongoing transaction monitoring and the ability to generate data needed for Suspicious Activity Reports [3][4][6].</w:t>
      </w:r>
    </w:p>
    <w:p>
      <w:pPr>
        <w:pStyle w:val="ListParagraph"/>
        <w:numPr>
          <w:ilvl w:val="0"/>
          <w:numId w:val="3"/>
        </w:numPr>
        <w:spacing w:after="80"/>
      </w:pPr>
      <w:r>
        <w:t xml:space="preserve">Risk thresholds, rule definitions, and model score cutoffs must be configurable by Risk Officers without requiring an engineering release, a capability identified as a core architectural requirement in regulated fintech systems [5].</w:t>
      </w:r>
    </w:p>
    <w:p>
      <w:pPr>
        <w:pStyle w:val="ListParagraph"/>
        <w:numPr>
          <w:ilvl w:val="0"/>
          <w:numId w:val="3"/>
        </w:numPr>
        <w:spacing w:after="80"/>
      </w:pPr>
      <w:r>
        <w:t xml:space="preserve">Model outputs used to decline or freeze a customer transaction must be explainable at the feature level (see SHAP requirement, Section 3.3) to support audit and customer dispute resolution [6][7].</w:t>
      </w:r>
    </w:p>
    <w:p>
      <w:pPr>
        <w:pStyle w:val="Heading2"/>
      </w:pPr>
      <w:r>
        <w:t xml:space="preserve">2.6 Assumptions and Dependencies</w:t>
      </w:r>
    </w:p>
    <w:p>
      <w:pPr>
        <w:pStyle w:val="ListParagraph"/>
        <w:numPr>
          <w:ilvl w:val="0"/>
          <w:numId w:val="3"/>
        </w:numPr>
        <w:spacing w:after="80"/>
      </w:pPr>
      <w:r>
        <w:t xml:space="preserve">The bank has, or will provide, a minimum volume of historically labeled fraud/non-fraud transactions sufficient to train an initial supervised model; exact volume requirements are addressed in Section 8.</w:t>
      </w:r>
    </w:p>
    <w:p>
      <w:pPr>
        <w:pStyle w:val="ListParagraph"/>
        <w:numPr>
          <w:ilvl w:val="0"/>
          <w:numId w:val="3"/>
        </w:numPr>
        <w:spacing w:after="80"/>
      </w:pPr>
      <w:r>
        <w:t xml:space="preserve">Core banking and channel systems can emit transaction events in near-real time (directly or via a streaming/ETL bridge).</w:t>
      </w:r>
    </w:p>
    <w:p>
      <w:pPr>
        <w:pStyle w:val="ListParagraph"/>
        <w:numPr>
          <w:ilvl w:val="0"/>
          <w:numId w:val="3"/>
        </w:numPr>
        <w:spacing w:after="80"/>
      </w:pPr>
      <w:r>
        <w:t xml:space="preserve">Existing identity, KYC, and watchlist data sources are accessible to the System under the bank's data governance policy.</w:t>
      </w:r>
    </w:p>
    <w:p>
      <w:r>
        <w:br w:type="page"/>
      </w:r>
    </w:p>
    <w:p>
      <w:pPr>
        <w:pStyle w:val="Heading1"/>
      </w:pPr>
      <w:r>
        <w:t xml:space="preserve">3. Specific Requirements</w:t>
      </w:r>
    </w:p>
    <w:p>
      <w:pPr>
        <w:pBdr>
          <w:bottom w:val="single" w:color="2E75B6" w:sz="6" w:space="1"/>
        </w:pBdr>
        <w:spacing w:after="240" w:before="80"/>
      </w:pPr>
    </w:p>
    <w:p>
      <w:pPr>
        <w:spacing w:after="160" w:line="276"/>
      </w:pPr>
      <w:r>
        <w:t xml:space="preserve">This section specifies requirements for each of the System's three cooperating fraud-detection approaches, followed by the shared modules (decisioning, case management, alerting, reporting, model management) that all three feed into. Each requirement is identified for traceability, consistent with IEEE 830 guidance that requirements be uniquely identifiable and traceable through design and test [1].</w:t>
      </w:r>
    </w:p>
    <w:p>
      <w:pPr>
        <w:spacing w:after="160" w:line="276"/>
      </w:pPr>
      <w:r>
        <w:t xml:space="preserve">Industry practice does not treat these three approaches as competitors; published guidance and deployed systems consistently combine them, since rule engines catch known patterns instantly while machine learning catches patterns no one has written a rule for yet, and the combination outperforms either alone [11][12][13].</w:t>
      </w:r>
    </w:p>
    <w:p>
      <w:pPr>
        <w:pStyle w:val="Heading2"/>
      </w:pPr>
      <w:r>
        <w:t xml:space="preserve">3.1 Rule-Based Fraud Detection Engine</w:t>
      </w:r>
    </w:p>
    <w:p>
      <w:pPr>
        <w:spacing w:after="160" w:line="276"/>
      </w:pPr>
      <w:r>
        <w:t xml:space="preserve">The rule-based engine applies deterministic, human-authored conditions to every transaction and login event. It is the System's fastest detection layer and the one most directly auditable by Risk and Compliance, since each decision traces to an explicit, named condition [11].</w:t>
      </w:r>
    </w:p>
    <w:p>
      <w:pPr>
        <w:pStyle w:val="Heading3"/>
      </w:pPr>
      <w:r>
        <w:t xml:space="preserve">3.1.1 Description and Rationale</w:t>
      </w:r>
    </w:p>
    <w:p>
      <w:pPr>
        <w:spacing w:after="160" w:line="276"/>
      </w:pPr>
      <w:r>
        <w:t xml:space="preserve">Rule-based engines remain a core layer in modern fraud platforms because they evaluate transactions in real time against clearly defined conditions, can be created or modified by risk teams without an engineering release, and give an immediately auditable reason for every flag — properties that are harder to get from a pure ML model [11]. Their main limitation, well documented in the literature, is that fraudsters can study and route around fixed thresholds, and rules alone do not adapt to fraud patterns that did not exist when the rule was written [12][13]. The System therefore uses the rule engine as the first, fast-decisioning layer and relies on Section 3.2/3.3 to catch what rules miss.</w:t>
      </w:r>
    </w:p>
    <w:p>
      <w:pPr>
        <w:pStyle w:val="Heading3"/>
      </w:pPr>
      <w:r>
        <w:t xml:space="preserve">3.1.2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evaluate every transaction against the active rule set before, or concurrently with, ML scoring, and shall complete this evaluation within the latency budget defined in Section 5.1.</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at minimum, the following rule categories drawn from common deployed fraud rule sets [2][11]: velocity rules (e.g., multiple transactions within seconds, multiple failed logins), threshold rules (transaction amount exceeds configured daily/per-transaction limit), geographic rules (high-risk country, impossible travel — e.g., two logins from different countries within an implausible time window), device/session rules (device mismatch, new device combined with new ISP), and account-state rules (blacklisted account, dormant account suddenly active).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allow a Risk Officer to create, modify, disable, or retire a rule, and to adjust its threshold values, through a configuration interface that does not require a code deployment.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combinable rule conditions (AND/OR logic) so that compound real-world patterns can be expressed, for example: “customer logged in from two or more different countries within two hours AND the ISP is new to this customer” — a pattern documented as a real account-takeover rule in deployed bank fraud architectures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log, for every rule evaluation, which rule(s) fired, their configured threshold at the time of evaluation, and the resulting action, to support audit and dispute resolution.</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provide a sandbox/shadow mode in which a new or modified rule can be evaluated against live or replayed traffic without affecting production decisions, before being promoted to production — a safeguard explicitly recommended for rule-engine change management [11].</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RB-7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version every rule set change with timestamp and author, and shall support rollback to a prior rule set version.</w:t>
            </w:r>
          </w:p>
        </w:tc>
      </w:tr>
    </w:tbl>
    <w:p>
      <w:pPr>
        <w:pStyle w:val="Heading3"/>
      </w:pPr>
      <w:r>
        <w:t xml:space="preserve">3.1.3 Rationale for Combinable, Configurable Rules</w:t>
      </w:r>
    </w:p>
    <w:p>
      <w:pPr>
        <w:spacing w:after="160" w:line="276"/>
      </w:pPr>
      <w:r>
        <w:t xml:space="preserve">Rule engines used in production fraud platforms are explicitly designed for risk teams to adjust thresholds and add rules in response to emerging fraud trends without engineering intervention; this agility is treated as a primary advantage of the rule-engine layer, not an optional nicety [11][5].</w:t>
      </w:r>
    </w:p>
    <w:p/>
    <w:p>
      <w:pPr>
        <w:pStyle w:val="Heading2"/>
      </w:pPr>
      <w:r>
        <w:t xml:space="preserve">3.2 Machine Learning Detection Engine</w:t>
      </w:r>
    </w:p>
    <w:p>
      <w:pPr>
        <w:spacing w:after="160" w:line="276"/>
      </w:pPr>
      <w:r>
        <w:t xml:space="preserve">The ML engine produces a continuous fraud-probability score for each transaction by learning from historical transaction patterns, customer behavior, and (where available) confirmed fraud labels. This is the layer that addresses the core weakness of rules alone: the ability to recognize fraud patterns that were never explicitly programmed [12][13].</w:t>
      </w:r>
    </w:p>
    <w:p>
      <w:pPr>
        <w:pStyle w:val="Heading3"/>
      </w:pPr>
      <w:r>
        <w:t xml:space="preserve">3.2.1 Model Portfolio</w:t>
      </w:r>
    </w:p>
    <w:p>
      <w:pPr>
        <w:spacing w:after="160" w:line="276"/>
      </w:pPr>
      <w:r>
        <w:t xml:space="preserve">Published fraud-detection research and deployed systems consistently favor a portfolio of models rather than a single algorithm, because different model families catch different fraud signatures and combining them improves both accuracy and robustness to adversarial adaptation [9][14][29]. The System's model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Category</w:t>
            </w:r>
          </w:p>
        </w:tc>
        <w:tc>
          <w:tcPr>
            <w:tcW w:type="dxa" w:w="26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Algorithms</w:t>
            </w:r>
          </w:p>
        </w:tc>
        <w:tc>
          <w:tcPr>
            <w:tcW w:type="dxa" w:w="468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Role / Rationale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Supervised — Gradient Boosting</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XGBoost, LightGBM</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Trained on labeled historical fraud/non-fraud transactions; strong baseline accuracy and reasonably interpretable feature importances; used as the base learner in multiple published hybrid fraud systems [8][9][14].</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Supervised — Classical</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Logistic Regression, Random Forest</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Used as benchmark/comparison models and, in ensemble designs, as meta-learners that combine other models' outputs [9][14].</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Deep Learning</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Deep Neural Network, LSTM, Autoencoder</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DNNs capture non-linear feature interactions that boosting models can miss; autoencoders and LSTMs are used to flag anomalies in sequences of transactions [29][14].</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Unsupervised / Semi-supervised</w:t>
            </w:r>
          </w:p>
        </w:tc>
        <w:tc>
          <w:tcPr>
            <w:tcW w:type="dxa" w:w="2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Isolation Forest, One-Class SVM, DBSCAN, Autoencoder</w:t>
            </w:r>
          </w:p>
        </w:tc>
        <w:tc>
          <w:tcPr>
            <w:tcW w:type="dxa" w:w="4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Used where labeled fraud examples are scarce; establishes a behavioral baseline and flags deviations, which is the same approach behind managed services such as Amazon Fraud Detector's Account Takeover Insights model, designed specifically to work without requiring collected fraud labels [2].</w:t>
            </w:r>
          </w:p>
        </w:tc>
      </w:tr>
    </w:tbl>
    <w:p>
      <w:pPr>
        <w:pStyle w:val="Heading3"/>
      </w:pPr>
      <w:r>
        <w:t xml:space="preserve">3.2.2 Feature 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compute, for each transaction, features including: transaction amount, transaction frequency, average daily spend, time-of-day, geolocation, device ID, IP address/ISP, merchant category, login time, recent failed login attempts, account age, transaction velocity, and distance from the customer's previous transaction location — a feature set consistent with those used in production banking fraud-check APIs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maintain a feature store that serves identical feature computation logic to both the model training pipeline and the real-time scoring pipeline, to prevent training/serving skew.</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behavioral-baseline features derived from a customer's own transaction history (not just population-wide statistics), consistent with semi-supervised approaches that learn normal behavior per user [2].</w:t>
            </w:r>
          </w:p>
        </w:tc>
      </w:tr>
    </w:tbl>
    <w:p>
      <w:pPr>
        <w:pStyle w:val="Heading3"/>
      </w:pPr>
      <w:r>
        <w:t xml:space="preserve">3.2.3 Training, Evaluation, and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training on historical labeled transaction data, with documented handling of class imbalance (fraud is always a small minority class), using techniques such as class weighting, focal loss, or threshold optimization rather than naive resampling alone, consistent with current best practice for production fraud models [29].</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evaluate every candidate model on precision, recall, F1-score, and AUC-ROC on a held-out test set before deployment; accuracy alone shall not be treated as a sufficient evaluation metric, since accuracy is misleading under severe class imbalance [30][31].</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maintain a model registry recording each trained model's version, training data window, evaluation metrics, and deployment status.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shadow deployment of a new model (scoring live traffic without influencing production decisions) before promotion to production, mirroring the staged-rollout approach financial institutions use when introducing new ML models alongside existing systems [16].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ML-8</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monitor deployed model performance (score distribution drift, precision/recall on newly confirmed fraud cases) on an ongoing basis and shall alert the ML engineering team when performance degrades beyond a configured tolerance.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ML-9</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scheduled and on-demand retraining using newly confirmed fraud/non-fraud labels sourced from the case management module (Section 3.4).</w:t>
            </w:r>
          </w:p>
        </w:tc>
      </w:tr>
    </w:tbl>
    <w:p>
      <w:pPr>
        <w:pStyle w:val="Heading3"/>
      </w:pPr>
      <w:r>
        <w:t xml:space="preserve">3.2.4 Illustrative Reference Points (Not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60"/>
              <w:left w:type="dxa" w:w="220"/>
              <w:bottom w:type="dxa" w:w="160"/>
              <w:right w:type="dxa" w:w="220"/>
            </w:tcMar>
          </w:tcPr>
          <w:p>
            <w:r>
              <w:rPr>
                <w:i/>
                <w:iCs/>
                <w:color w:val="7A4B00"/>
                <w:sz w:val="19"/>
                <w:szCs w:val="19"/>
              </w:rPr>
              <w:t xml:space="preserve">The figures below are reported results from third-party published studies on fraud datasets, included to show what is achievable with these techniques. They are not guaranteed outcomes for this System and must not be used as contractual targets until validated against the organization's own data.</w:t>
            </w:r>
          </w:p>
        </w:tc>
      </w:tr>
    </w:tbl>
    <w:p>
      <w:pPr>
        <w:pStyle w:val="ListParagraph"/>
        <w:numPr>
          <w:ilvl w:val="0"/>
          <w:numId w:val="3"/>
        </w:numPr>
        <w:spacing w:after="80"/>
      </w:pPr>
      <w:r>
        <w:t xml:space="preserve">A cost-sensitive ensemble framework evaluated on real-world online banking transaction data reported catching approximately 98% of actual fraud cases (recall), outperforming static rule-only baselines on highly imbalanced data [19].</w:t>
      </w:r>
    </w:p>
    <w:p>
      <w:pPr>
        <w:pStyle w:val="ListParagraph"/>
        <w:numPr>
          <w:ilvl w:val="0"/>
          <w:numId w:val="3"/>
        </w:numPr>
        <w:spacing w:after="80"/>
      </w:pPr>
      <w:r>
        <w:t xml:space="preserve">A stacking ensemble combining decision trees, random forest, SVM, XGBoost, CatBoost, and logistic regression reported an F1-score of 88.14% on a credit card fraud dataset, balancing precision and recall better than any single base model [30][31].</w:t>
      </w:r>
    </w:p>
    <w:p>
      <w:pPr>
        <w:pStyle w:val="ListParagraph"/>
        <w:numPr>
          <w:ilvl w:val="0"/>
          <w:numId w:val="3"/>
        </w:numPr>
        <w:spacing w:after="80"/>
      </w:pPr>
      <w:r>
        <w:t xml:space="preserve">A hyper-ensemble combining six unsupervised/semi-supervised model types, evaluated on a real-world dataset of bank transactions from a large European bank, reported base-learner accuracies in the 0.91–0.97 range, with the ensemble outperforming individual baselines [33].</w:t>
      </w:r>
    </w:p>
    <w:p/>
    <w:p>
      <w:pPr>
        <w:pStyle w:val="Heading2"/>
      </w:pPr>
      <w:r>
        <w:t xml:space="preserve">3.3 AI Ensemble and Risk-Decisioning Engine</w:t>
      </w:r>
    </w:p>
    <w:p>
      <w:pPr>
        <w:spacing w:after="160" w:line="276"/>
      </w:pPr>
      <w:r>
        <w:t xml:space="preserve">This layer is what distinguishes a fraud platform from a fraud filter: it does not pick a winner between the rule engine and the ML models, it combines their outputs — along with customer risk profile, AML risk score, device risk, and geolocation risk — into a single risk classification and decision. This hybrid approach is the pattern most consistently recommended in both vendor architectures and academic literature, since rule outputs and ML outputs catch different things and combining them outperforms relying on either alone [2][12][13][29].</w:t>
      </w:r>
    </w:p>
    <w:p>
      <w:pPr>
        <w:pStyle w:val="Heading3"/>
      </w:pPr>
      <w:r>
        <w:t xml:space="preserve">3.3.1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compute a composite risk score for each transaction by combining: (a) the rule engine's triggered-rule outcomes, (b) the ML engine's fraud-probability score(s), (c) the customer's existing risk profile/category, (d) an AML risk indicator, and (e) device and geolocation risk signals — the same composite-input pattern used in deployed risk-scoring engines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classify each transaction into one of four risk bands: Low, Medium, High, or Critical, based on the composite score and configurable band boundaries.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map each risk band to a default automated decision: Low → Approve; Medium → Approve with monitoring; High → Hold for review; Critical → Reject or Freeze account — with the mapping itself configurable by Risk Officers.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Where the rule engine and ML engine disagree (e.g., no rule fires but the ML score is high, or a low-severity rule fires but the ML score is low), the System shall apply a documented resolution policy rather than silently favoring one signal; the default policy shall be configurable (e.g., “take the higher of the two implied risk levels”).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produce a SHAP-based or equivalent feature-attribution explanation for every transaction routed to Hold, Reject, or Freeze, so that a fraud analyst, auditor, or customer-facing agent can see which features and rules drove the decision — a requirement directly tied to explainability obligations in regulated financial environments [6][7][29].</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log the full decision trail (rule outcomes, model score(s), composite score, band, and final decision) for every transaction, retained per the audit retention period in Section 5.4.</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AI-7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step-up authentication or hold-for-verification as an intermediate action for Medium/High risk transactions, rather than only binary approve/reject, consistent with proportionate-response designs used in production risk engines [29].</w:t>
            </w:r>
          </w:p>
        </w:tc>
      </w:tr>
    </w:tbl>
    <w:p>
      <w:pPr>
        <w:pStyle w:val="Heading3"/>
      </w:pPr>
      <w:r>
        <w:t xml:space="preserve">3.3.2 Explainability Requirement — Rationale</w:t>
      </w:r>
    </w:p>
    <w:p>
      <w:pPr>
        <w:spacing w:after="160" w:line="276"/>
      </w:pPr>
      <w:r>
        <w:t xml:space="preserve">Explainability is not a convenience feature for this layer; published implementations explicitly tie SHAP-based interpretability to audit-trail and due-diligence obligations under PCI DSS v4.0 and AML directives, since each transaction's risk assessment needs to be demonstrable, not just accurate [6]. A model that cannot explain a Critical-risk decision cannot be defended in a customer dispute or regulatory examination.</w:t>
      </w:r>
    </w:p>
    <w:p/>
    <w:p>
      <w:pPr>
        <w:pStyle w:val="Heading2"/>
      </w:pPr>
      <w:r>
        <w:t xml:space="preserve">3.4 Shared Modules (Fed by All Three Detection Layers)</w:t>
      </w:r>
    </w:p>
    <w:p>
      <w:pPr>
        <w:pStyle w:val="Heading3"/>
      </w:pPr>
      <w:r>
        <w:t xml:space="preserve">3.4.1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CM-1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generate a case automatically for every transaction routed to Hold, Reject, or Freeze, pre-populated with the decision trail from AI-6.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CM-2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allow a Fraud Analyst to assign, annotate, escalate, approve, reject, or close a case, and to request additional customer verification.</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CM-3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feed analyst-confirmed fraud/non-fraud outcomes back into the ML training pipeline (ML-9) as new labeled data.</w:t>
            </w:r>
          </w:p>
        </w:tc>
      </w:tr>
    </w:tbl>
    <w:p>
      <w:pPr>
        <w:pStyle w:val="Heading3"/>
      </w:pPr>
      <w:r>
        <w:t xml:space="preserve">3.4.2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AL-1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notify the customer via SMS, email, or push notification (per their preference) when a transaction is held, rejected, or requires step-up verification.</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AL-2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notify assigned Fraud Analysts of new high/critical-risk cases through an internal alert and/or case-management ticket.</w:t>
            </w:r>
          </w:p>
        </w:tc>
      </w:tr>
    </w:tbl>
    <w:p>
      <w:pPr>
        <w:pStyle w:val="Heading3"/>
      </w:pPr>
      <w:r>
        <w:t xml:space="preserve">3.4.3 Reporting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 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RP-1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generate daily, weekly, and monthly fraud summary reports covering transaction volume, fraud rate, false-positive rate, and losses avoided.</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RP-2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produce data in the format needed to support Suspicious Activity Report (SAR) filing obligations under applicable AML regulation (e.g., the U.S. Bank Secrecy Act and FinCEN requirements, or jurisdictional equivalents) [3][4][6].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RP-3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provide an executive dashboard showing real-time KPIs: total transactions, fraud transactions, fraud rate, high-risk accounts, false-positive rate, active alerts, and model accuracy trend.</w:t>
            </w:r>
          </w:p>
        </w:tc>
      </w:tr>
    </w:tbl>
    <w:p>
      <w:r>
        <w:br w:type="page"/>
      </w:r>
    </w:p>
    <w:p>
      <w:pPr>
        <w:pStyle w:val="Heading1"/>
      </w:pPr>
      <w:r>
        <w:t xml:space="preserve">4. External Interface Requirements</w:t>
      </w:r>
    </w:p>
    <w:p>
      <w:pPr>
        <w:pBdr>
          <w:bottom w:val="single" w:color="2E75B6" w:sz="6" w:space="1"/>
        </w:pBdr>
        <w:spacing w:after="240" w:before="80"/>
      </w:pPr>
    </w:p>
    <w:p>
      <w:pPr>
        <w:pStyle w:val="Heading2"/>
      </w:pPr>
      <w:r>
        <w:t xml:space="preserve">4.1 User Interfaces</w:t>
      </w:r>
    </w:p>
    <w:p>
      <w:pPr>
        <w:pStyle w:val="ListParagraph"/>
        <w:numPr>
          <w:ilvl w:val="0"/>
          <w:numId w:val="3"/>
        </w:numPr>
        <w:spacing w:after="80"/>
      </w:pPr>
      <w:r>
        <w:t xml:space="preserve">Fraud Analyst case review console (Section 3.4.1).</w:t>
      </w:r>
    </w:p>
    <w:p>
      <w:pPr>
        <w:pStyle w:val="ListParagraph"/>
        <w:numPr>
          <w:ilvl w:val="0"/>
          <w:numId w:val="3"/>
        </w:numPr>
        <w:spacing w:after="80"/>
      </w:pPr>
      <w:r>
        <w:t xml:space="preserve">Risk Officer rule and threshold configuration console (Section 3.1.2, RB-3).</w:t>
      </w:r>
    </w:p>
    <w:p>
      <w:pPr>
        <w:pStyle w:val="ListParagraph"/>
        <w:numPr>
          <w:ilvl w:val="0"/>
          <w:numId w:val="3"/>
        </w:numPr>
        <w:spacing w:after="80"/>
      </w:pPr>
      <w:r>
        <w:t xml:space="preserve">Executive/management dashboard (Section 3.4.3, RP-3).</w:t>
      </w:r>
    </w:p>
    <w:p>
      <w:pPr>
        <w:pStyle w:val="Heading2"/>
      </w:pPr>
      <w:r>
        <w:t xml:space="preserve">4.2 System Interfaces</w:t>
      </w:r>
    </w:p>
    <w:p>
      <w:pPr>
        <w:spacing w:after="160" w:line="276"/>
      </w:pPr>
      <w:r>
        <w:t xml:space="preserve">The System exposes a synchronous fraud-check API, invoked by channel applications (mobile, web, ATM/POS gateway) during transaction or login processing, following the integration pattern used in deployed bank fraud-check APIs: the calling application submits event attributes (customer/entity ID, IP address, device fingerprint, session ID, transaction details) and receives a risk decision in response [2].</w:t>
      </w:r>
    </w:p>
    <w:p>
      <w:pPr>
        <w:spacing w:after="160" w:line="276"/>
      </w:pPr>
      <w:r>
        <w:t xml:space="preserve">Representative input attributes, consistent with those used in production fraud-check APIs [2]:</w:t>
      </w:r>
    </w:p>
    <w:p>
      <w:pPr>
        <w:pStyle w:val="ListParagraph"/>
        <w:numPr>
          <w:ilvl w:val="0"/>
          <w:numId w:val="3"/>
        </w:numPr>
        <w:spacing w:after="80"/>
      </w:pPr>
      <w:r>
        <w:t xml:space="preserve">entity_id (customer or account identifier)</w:t>
      </w:r>
    </w:p>
    <w:p>
      <w:pPr>
        <w:pStyle w:val="ListParagraph"/>
        <w:numPr>
          <w:ilvl w:val="0"/>
          <w:numId w:val="3"/>
        </w:numPr>
        <w:spacing w:after="80"/>
      </w:pPr>
      <w:r>
        <w:t xml:space="preserve">ip_address, device fingerprint, session_id</w:t>
      </w:r>
    </w:p>
    <w:p>
      <w:pPr>
        <w:pStyle w:val="ListParagraph"/>
        <w:numPr>
          <w:ilvl w:val="0"/>
          <w:numId w:val="3"/>
        </w:numPr>
        <w:spacing w:after="80"/>
      </w:pPr>
      <w:r>
        <w:t xml:space="preserve">transaction amount, currency, merchant category, beneficiary identifier</w:t>
      </w:r>
    </w:p>
    <w:p>
      <w:pPr>
        <w:pStyle w:val="ListParagraph"/>
        <w:numPr>
          <w:ilvl w:val="0"/>
          <w:numId w:val="3"/>
        </w:numPr>
        <w:spacing w:after="80"/>
      </w:pPr>
      <w:r>
        <w:t xml:space="preserve">geolocation / country code</w:t>
      </w:r>
    </w:p>
    <w:p>
      <w:pPr>
        <w:pStyle w:val="Heading2"/>
      </w:pPr>
      <w:r>
        <w:t xml:space="preserve">4.3 Communications Interfaces</w:t>
      </w:r>
    </w:p>
    <w:p>
      <w:pPr>
        <w:pStyle w:val="ListParagraph"/>
        <w:numPr>
          <w:ilvl w:val="0"/>
          <w:numId w:val="3"/>
        </w:numPr>
        <w:spacing w:after="80"/>
      </w:pPr>
      <w:r>
        <w:t xml:space="preserve">Real-time event streaming (e.g., Kafka or an equivalent managed event bus) for transaction ingestion and decision publishing.</w:t>
      </w:r>
    </w:p>
    <w:p>
      <w:pPr>
        <w:pStyle w:val="ListParagraph"/>
        <w:numPr>
          <w:ilvl w:val="0"/>
          <w:numId w:val="3"/>
        </w:numPr>
        <w:spacing w:after="80"/>
      </w:pPr>
      <w:r>
        <w:t xml:space="preserve">SMS and email gateway integration for customer alerting.</w:t>
      </w:r>
    </w:p>
    <w:p>
      <w:pPr>
        <w:pStyle w:val="ListParagraph"/>
        <w:numPr>
          <w:ilvl w:val="0"/>
          <w:numId w:val="3"/>
        </w:numPr>
        <w:spacing w:after="80"/>
      </w:pPr>
      <w:r>
        <w:t xml:space="preserve">Integration with the bank's core banking system, KYC/AML platform, and credit bureau or watchlist data sources.</w:t>
      </w:r>
    </w:p>
    <w:p>
      <w:r>
        <w:br w:type="page"/>
      </w:r>
    </w:p>
    <w:p>
      <w:pPr>
        <w:pStyle w:val="Heading1"/>
      </w:pPr>
      <w:r>
        <w:t xml:space="preserve">5. Non-Functional Requirements</w:t>
      </w:r>
    </w:p>
    <w:p>
      <w:pPr>
        <w:pBdr>
          <w:bottom w:val="single" w:color="2E75B6" w:sz="6" w:space="1"/>
        </w:pBdr>
        <w:spacing w:after="240" w:before="80"/>
      </w:pP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return a risk decision for real-time channel transactions (mobile, POS, card) with sub-second latency under normal load, consistent with latency expectations for synchronous fraud-check APIs used in production [2].</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NF-2</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scale to the bank's peak transaction-per-second volume without degraded latency; managed fraud-detection services in comparable deployed architectures are documented as auto-scaling to handle on the order of 200+ predictions per second, with higher throughput available on request [2].</w:t>
            </w:r>
          </w:p>
        </w:tc>
      </w:tr>
    </w:tbl>
    <w:p>
      <w:pPr>
        <w:pStyle w:val="Heading2"/>
      </w:pPr>
      <w: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NF-3</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Any System component that stores, processes, or transmits cardholder data shall comply with PCI DSS [6].</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NF-4</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encrypt sensitive customer and transaction data at rest and in transit.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enforce role-based access control (RBAC) and multi-factor authentication for all internal user roles defined in Section 2.3.</w:t>
            </w:r>
          </w:p>
        </w:tc>
      </w:tr>
    </w:tbl>
    <w:p>
      <w:pPr>
        <w:pStyle w:val="Heading2"/>
      </w:pPr>
      <w:r>
        <w:t xml:space="preserve">5.3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NF-6</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the ongoing transaction monitoring obligations required under AML regulation, including the U.S. Bank Secrecy Act and equivalent frameworks in other jurisdictions [3][4].</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retain decision logs, model predictions, and rule evaluation records for the audit retention period required by applicable regulation and the bank's own record-retention policy.</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NF-8</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support a risk-based approach to customer monitoring consistent with KYC/CDD (Customer Due Diligence) expectations, including the ability to apply enhanced monitoring to higher-risk customer segments [5].</w:t>
            </w:r>
          </w:p>
        </w:tc>
      </w:tr>
    </w:tbl>
    <w:p>
      <w:pPr>
        <w:pStyle w:val="Heading2"/>
      </w:pPr>
      <w:r>
        <w:t xml:space="preserve">5.4 Auditability and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NF-9</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Every automated Hold, Reject, or Freeze decision shall be reconstructable after the fact from logged rule outcomes, model scores, and the SHAP-based feature attribution required by AI-5.</w:t>
            </w:r>
          </w:p>
        </w:tc>
      </w:tr>
    </w:tbl>
    <w:p>
      <w:pPr>
        <w:pStyle w:val="Heading2"/>
      </w:pPr>
      <w:r>
        <w:t xml:space="preserve">5.5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ID</w:t>
            </w:r>
          </w:p>
        </w:tc>
        <w:tc>
          <w:tcPr>
            <w:tcW w:type="dxa" w:w="79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Requirement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NF-10</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define and meet an availability target appropriate to a production payment-adjacent system (commonly 99.9% or higher in comparable financial infrastructure); the exact target should be set jointly with IT Operations and is not fixed by this document.</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NF-11</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The System shall fail safe: if the fraud engine is unreachable or times out, the calling channel application's fallback behavior (e.g., default to existing rule-only checks, or apply a conservative hold policy) shall be explicitly defined rather than left to default to silent approval.</w:t>
            </w:r>
          </w:p>
        </w:tc>
      </w:tr>
    </w:tbl>
    <w:p>
      <w:r>
        <w:br w:type="page"/>
      </w:r>
    </w:p>
    <w:p>
      <w:pPr>
        <w:pStyle w:val="Heading1"/>
      </w:pPr>
      <w:r>
        <w:t xml:space="preserve">6. Data Requirements</w:t>
      </w:r>
    </w:p>
    <w:p>
      <w:pPr>
        <w:pBdr>
          <w:bottom w:val="single" w:color="2E75B6" w:sz="6" w:space="1"/>
        </w:pBdr>
        <w:spacing w:after="240" w:before="80"/>
      </w:pPr>
    </w:p>
    <w:p>
      <w:pPr>
        <w:spacing w:after="160" w:line="276"/>
      </w:pPr>
      <w:r>
        <w:t xml:space="preserve">The quality and structure of training data has more influence on real-world model performance than algorithm choice; this section specifies what the System needs from the bank's data, not just what the models compute.</w:t>
      </w:r>
    </w:p>
    <w:p>
      <w:pPr>
        <w:pStyle w:val="ListParagraph"/>
        <w:numPr>
          <w:ilvl w:val="0"/>
          <w:numId w:val="3"/>
        </w:numPr>
        <w:spacing w:after="80"/>
      </w:pPr>
      <w:r>
        <w:t xml:space="preserve">Historical transaction data, with confirmed fraud/non-fraud labels where available, sufficient to train and validate the initial supervised models in Section 3.2.</w:t>
      </w:r>
    </w:p>
    <w:p>
      <w:pPr>
        <w:pStyle w:val="ListParagraph"/>
        <w:numPr>
          <w:ilvl w:val="0"/>
          <w:numId w:val="3"/>
        </w:numPr>
        <w:spacing w:after="80"/>
      </w:pPr>
      <w:r>
        <w:t xml:space="preserve">Customer profile data: account type, risk category, account age, registered beneficiaries, device history.</w:t>
      </w:r>
    </w:p>
    <w:p>
      <w:pPr>
        <w:pStyle w:val="ListParagraph"/>
        <w:numPr>
          <w:ilvl w:val="0"/>
          <w:numId w:val="3"/>
        </w:numPr>
        <w:spacing w:after="80"/>
      </w:pPr>
      <w:r>
        <w:t xml:space="preserve">Session/device data: device fingerprint, IP address, login timestamps, failed login attempts.</w:t>
      </w:r>
    </w:p>
    <w:p>
      <w:pPr>
        <w:pStyle w:val="ListParagraph"/>
        <w:numPr>
          <w:ilvl w:val="0"/>
          <w:numId w:val="3"/>
        </w:numPr>
        <w:spacing w:after="80"/>
      </w:pPr>
      <w:r>
        <w:t xml:space="preserve">Data must be handled under the bank's data governance and privacy policy; anonymization or pseudonymization should be applied wherever the data leaves a production system boundary for model training, consistent with data-protection obligations such as GDPR where applicable [5][21].</w:t>
      </w:r>
    </w:p>
    <w:p>
      <w:pPr>
        <w:pStyle w:val="ListParagraph"/>
        <w:numPr>
          <w:ilvl w:val="0"/>
          <w:numId w:val="3"/>
        </w:numPr>
        <w:spacing w:after="80"/>
      </w:pPr>
      <w:r>
        <w:t xml:space="preserve">Severe class imbalance should be expected and explicitly planned for (fraud is typically a small fraction of total transactions); see ML-4 for the System's required handling approach.</w:t>
      </w:r>
    </w:p>
    <w:p>
      <w:r>
        <w:br w:type="page"/>
      </w:r>
    </w:p>
    <w:p>
      <w:pPr>
        <w:pStyle w:val="Heading1"/>
      </w:pPr>
      <w:r>
        <w:t xml:space="preserve">7. System Architecture (Informative)</w:t>
      </w:r>
    </w:p>
    <w:p>
      <w:pPr>
        <w:pBdr>
          <w:bottom w:val="single" w:color="2E75B6" w:sz="6" w:space="1"/>
        </w:pBdr>
        <w:spacing w:after="240" w:before="80"/>
      </w:pPr>
    </w:p>
    <w:p>
      <w:pPr>
        <w:spacing w:after="160" w:line="276"/>
      </w:pPr>
      <w:r>
        <w:t xml:space="preserve">This section is informative rather than strictly normative: it shows one architecture capable of satisfying Section 3's requirements, modeled directly on a published reference architecture for bank fraud detection [2], rather than prescribing a specific vendor.</w:t>
      </w:r>
    </w:p>
    <w:p>
      <w:pPr>
        <w:pStyle w:val="Heading3"/>
      </w:pPr>
      <w:r>
        <w:t xml:space="preserve">7.1 Reference Architecture Mapping</w:t>
      </w:r>
    </w:p>
    <w:p>
      <w:pPr>
        <w:spacing w:after="160" w:line="276"/>
      </w:pPr>
      <w:r>
        <w:t xml:space="preserve">The AWS published reference architecture for banking fraud detection organizes the system into five building blocks: event injection, event storage, fraud detection (ML + rules + decision engine), event orchestration, and fraud response [2]. The table below maps this System's requirements onto that same block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Reference Block [2]</w:t>
            </w:r>
          </w:p>
        </w:tc>
        <w:tc>
          <w:tcPr>
            <w:tcW w:type="dxa" w:w="716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r>
              <w:rPr>
                <w:b/>
                <w:bCs/>
                <w:color w:val="FFFFFF"/>
                <w:sz w:val="20"/>
                <w:szCs w:val="20"/>
              </w:rPr>
              <w:t xml:space="preserve">Realized By</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Event Injection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Channel applications call the fraud-check API (Section 4.2) with transaction/session attributes.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Event Store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Persists raw events for both real-time scoring and downstream model retraining.</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Fraud Detection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Rule engine (3.1) + ML models (3.2) + AI ensemble/decision engine (3.3), running in parallel and feeding the composite score.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Event Orchestration</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Publishes the decision and full decision trail to an event bus for downstream consumption.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bCs/>
                <w:sz w:val="20"/>
                <w:szCs w:val="20"/>
              </w:rPr>
              <w:t xml:space="preserve">Fraud Response</w:t>
            </w:r>
          </w:p>
        </w:tc>
        <w:tc>
          <w:tcPr>
            <w:tcW w:type="dxa" w:w="7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r>
              <w:rPr>
                <w:b w:val="false"/>
                <w:bCs w:val="false"/>
                <w:sz w:val="20"/>
                <w:szCs w:val="20"/>
              </w:rPr>
              <w:t xml:space="preserve">Case management (3.4.1), alerting (3.4.2), and channel-level enforcement of the decision (approve/hold/reject/freeze).</w:t>
            </w:r>
          </w:p>
        </w:tc>
      </w:tr>
    </w:tbl>
    <w:p>
      <w:pPr>
        <w:spacing w:before="240"/>
      </w:pPr>
    </w:p>
    <w:p>
      <w:pPr>
        <w:pStyle w:val="Heading3"/>
      </w:pPr>
      <w:r>
        <w:t xml:space="preserve">7.2 End-to-End Transaction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00"/>
              <w:left w:type="dxa" w:w="300"/>
              <w:bottom w:type="dxa" w:w="200"/>
              <w:right w:type="dxa" w:w="300"/>
            </w:tcMar>
          </w:tcPr>
          <w:p>
            <w:pPr>
              <w:jc w:val="center"/>
            </w:pPr>
            <w:r>
              <w:rPr>
                <w:rFonts w:ascii="Consolas" w:cs="Consolas" w:eastAsia="Consolas" w:hAnsi="Consolas"/>
                <w:color w:val="333333"/>
                <w:sz w:val="18"/>
                <w:szCs w:val="18"/>
              </w:rPr>
              <w:t xml:space="preserve">Customer -&gt; Banking Channel -&gt; API Gateway -&gt; Authentication</w:t>
            </w:r>
          </w:p>
          <w:p>
            <w:pPr>
              <w:jc w:val="center"/>
            </w:pPr>
            <w:r>
              <w:rPr>
                <w:rFonts w:ascii="Consolas" w:cs="Consolas" w:eastAsia="Consolas" w:hAnsi="Consolas"/>
                <w:color w:val="333333"/>
                <w:sz w:val="18"/>
                <w:szCs w:val="18"/>
              </w:rPr>
              <w:t xml:space="preserve">-&gt; Event Bus -&gt; [ Rule Engine | ML Models ] -&gt; AI Ensemble / Risk Scoring</w:t>
            </w:r>
          </w:p>
          <w:p>
            <w:pPr>
              <w:jc w:val="center"/>
            </w:pPr>
            <w:r>
              <w:rPr>
                <w:rFonts w:ascii="Consolas" w:cs="Consolas" w:eastAsia="Consolas" w:hAnsi="Consolas"/>
                <w:color w:val="333333"/>
                <w:sz w:val="18"/>
                <w:szCs w:val="18"/>
              </w:rPr>
              <w:t xml:space="preserve">-&gt; Decision Engine -&gt; [Approve | Hold | Reject | Freeze]</w:t>
            </w:r>
          </w:p>
          <w:p>
            <w:pPr>
              <w:jc w:val="center"/>
            </w:pPr>
            <w:r>
              <w:rPr>
                <w:rFonts w:ascii="Consolas" w:cs="Consolas" w:eastAsia="Consolas" w:hAnsi="Consolas"/>
                <w:color w:val="333333"/>
                <w:sz w:val="18"/>
                <w:szCs w:val="18"/>
              </w:rPr>
              <w:t xml:space="preserve">-&gt; Alerting -&gt; Case Management -&gt; Fraud Analyst Dashboard</w:t>
            </w:r>
          </w:p>
        </w:tc>
      </w:tr>
    </w:tbl>
    <w:p>
      <w:pPr>
        <w:pStyle w:val="Heading3"/>
      </w:pPr>
      <w:r>
        <w:t xml:space="preserve">7.3 Continuous Learning Loop</w:t>
      </w:r>
    </w:p>
    <w:p>
      <w:pPr>
        <w:spacing w:after="160" w:line="276"/>
      </w:pPr>
      <w:r>
        <w:t xml:space="preserve">Continuous retraining is treated in deployed systems as integral to the architecture, not an optional add-on, since fraud patterns evolve and a static model degrades [2][17]: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00"/>
              <w:left w:type="dxa" w:w="300"/>
              <w:bottom w:type="dxa" w:w="200"/>
              <w:right w:type="dxa" w:w="300"/>
            </w:tcMar>
          </w:tcPr>
          <w:p>
            <w:pPr>
              <w:jc w:val="center"/>
            </w:pPr>
            <w:r>
              <w:rPr>
                <w:rFonts w:ascii="Consolas" w:cs="Consolas" w:eastAsia="Consolas" w:hAnsi="Consolas"/>
                <w:color w:val="333333"/>
                <w:sz w:val="18"/>
                <w:szCs w:val="18"/>
              </w:rPr>
              <w:t xml:space="preserve">Historical + Newly Confirmed Cases -&gt; Feature Engineering -&gt; Model Training</w:t>
            </w:r>
          </w:p>
          <w:p>
            <w:pPr>
              <w:jc w:val="center"/>
            </w:pPr>
            <w:r>
              <w:rPr>
                <w:rFonts w:ascii="Consolas" w:cs="Consolas" w:eastAsia="Consolas" w:hAnsi="Consolas"/>
                <w:color w:val="333333"/>
                <w:sz w:val="18"/>
                <w:szCs w:val="18"/>
              </w:rPr>
              <w:t xml:space="preserve">-&gt; Evaluation -&gt; Model Registry -&gt; Shadow Deployment -&gt; Production</w:t>
            </w:r>
          </w:p>
          <w:p>
            <w:pPr>
              <w:jc w:val="center"/>
            </w:pPr>
            <w:r>
              <w:rPr>
                <w:rFonts w:ascii="Consolas" w:cs="Consolas" w:eastAsia="Consolas" w:hAnsi="Consolas"/>
                <w:color w:val="333333"/>
                <w:sz w:val="18"/>
                <w:szCs w:val="18"/>
              </w:rPr>
              <w:t xml:space="preserve">-&gt; Performance Monitoring -&gt; Retraining Trigger</w:t>
            </w:r>
          </w:p>
        </w:tc>
      </w:tr>
    </w:tbl>
    <w:p>
      <w:r>
        <w:br w:type="page"/>
      </w:r>
    </w:p>
    <w:p>
      <w:pPr>
        <w:pStyle w:val="Heading1"/>
      </w:pPr>
      <w:r>
        <w:t xml:space="preserve">8. Assumptions, Dependencies, and Open Items</w:t>
      </w:r>
    </w:p>
    <w:p>
      <w:pPr>
        <w:pBdr>
          <w:bottom w:val="single" w:color="2E75B6" w:sz="6" w:space="1"/>
        </w:pBdr>
        <w:spacing w:after="240" w:before="80"/>
      </w:pPr>
    </w:p>
    <w:p>
      <w:pPr>
        <w:spacing w:after="160" w:line="276"/>
      </w:pPr>
      <w:r>
        <w:t xml:space="preserve">The following items should be resolved or validated before or during implementation; they are flagged here rather than answered, since the answers depend on the specific bank's data and infrastructure.</w:t>
      </w:r>
    </w:p>
    <w:p>
      <w:pPr>
        <w:pStyle w:val="ListParagraph"/>
        <w:numPr>
          <w:ilvl w:val="0"/>
          <w:numId w:val="2"/>
        </w:numPr>
        <w:spacing w:after="80"/>
      </w:pPr>
      <w:r>
        <w:t xml:space="preserve">Volume and quality of historical labeled fraud data available for initial model training (affects which models in Section 3.2.1 are viable at launch — unsupervised/semi-supervised methods may need to lead if labels are scarce, per the rationale in ML-4 and the Amazon Fraud Detector ATI precedent [2]).</w:t>
      </w:r>
    </w:p>
    <w:p>
      <w:pPr>
        <w:pStyle w:val="ListParagraph"/>
        <w:numPr>
          <w:ilvl w:val="0"/>
          <w:numId w:val="2"/>
        </w:numPr>
        <w:spacing w:after="80"/>
      </w:pPr>
      <w:r>
        <w:t xml:space="preserve">Target jurisdiction(s) and corresponding AML/KYC regulatory regime(s) (the requirements in Section 5.3 reference US/FinCEN and general AML/KYC practice as illustrative; jurisdiction-specific legal review is required before this is treated as a compliance commitment).</w:t>
      </w:r>
    </w:p>
    <w:p>
      <w:pPr>
        <w:pStyle w:val="ListParagraph"/>
        <w:numPr>
          <w:ilvl w:val="0"/>
          <w:numId w:val="2"/>
        </w:numPr>
        <w:spacing w:after="80"/>
      </w:pPr>
      <w:r>
        <w:t xml:space="preserve">Specific latency and availability SLAs (Section 5.1, 5.5), to be set jointly with IT Operations and channel owners.</w:t>
      </w:r>
    </w:p>
    <w:p>
      <w:pPr>
        <w:pStyle w:val="ListParagraph"/>
        <w:numPr>
          <w:ilvl w:val="0"/>
          <w:numId w:val="2"/>
        </w:numPr>
        <w:spacing w:after="80"/>
      </w:pPr>
      <w:r>
        <w:t xml:space="preserve">Cloud vs. on-premises vs. hybrid deployment decision, which affects which managed AI/ML services (if any) are used to realize Section 3.2 and 3.3.</w:t>
      </w:r>
    </w:p>
    <w:p>
      <w:pPr>
        <w:pStyle w:val="ListParagraph"/>
        <w:numPr>
          <w:ilvl w:val="0"/>
          <w:numId w:val="2"/>
        </w:numPr>
        <w:spacing w:after="80"/>
      </w:pPr>
      <w:r>
        <w:t xml:space="preserve">Fallback behavior when the fraud engine is unavailable (NF-11) must be explicitly decided by Risk and Operations, not defaulted.</w:t>
      </w:r>
    </w:p>
    <w:p>
      <w:r>
        <w:br w:type="page"/>
      </w:r>
    </w:p>
    <w:p>
      <w:pPr>
        <w:pStyle w:val="Heading1"/>
      </w:pPr>
      <w:r>
        <w:t xml:space="preserve">9. References</w:t>
      </w:r>
    </w:p>
    <w:p>
      <w:pPr>
        <w:pBdr>
          <w:bottom w:val="single" w:color="2E75B6" w:sz="6" w:space="1"/>
        </w:pBdr>
        <w:spacing w:after="240" w:before="80"/>
      </w:pPr>
    </w:p>
    <w:p>
      <w:pPr>
        <w:spacing w:after="160" w:line="276"/>
      </w:pPr>
      <w:r>
        <w:rPr>
          <w:i/>
          <w:iCs/>
          <w:color w:val="595959"/>
        </w:rPr>
        <w:t xml:space="preserve">The following sources were consulted in preparing this specification. Where this document states a fact, figure, or named practice as coming from real-world industry or regulatory sources, it corresponds to one of the entries below.</w:t>
      </w:r>
    </w:p>
    <w:p>
      <w:pPr>
        <w:spacing w:before="200"/>
      </w:pPr>
    </w:p>
    <w:p>
      <w:pPr>
        <w:spacing w:after="140"/>
        <w:ind w:left="360" w:hanging="360"/>
      </w:pPr>
      <w:r>
        <w:rPr>
          <w:b/>
          <w:bCs/>
        </w:rPr>
        <w:t xml:space="preserve">[1] </w:t>
      </w:r>
      <w:r>
        <w:t xml:space="preserve">IEEE Std 830-1998, “IEEE Recommended Practice for Software Requirements Specifications,” IEEE Computer Society, 1998 (superseded by ISO/IEC/IEEE 29148:2011). https://standards.ieee.org/ieee/830/1222/</w:t>
      </w:r>
    </w:p>
    <w:p>
      <w:pPr>
        <w:spacing w:after="140"/>
        <w:ind w:left="360" w:hanging="360"/>
      </w:pPr>
      <w:r>
        <w:rPr>
          <w:b/>
          <w:bCs/>
        </w:rPr>
        <w:t xml:space="preserve">[2] </w:t>
      </w:r>
      <w:r>
        <w:t xml:space="preserve">A. Mohan, “Banking Fraud Detection with Machine Learning and Real-time Analytics on AWS,” AWS for Industries Blog, Amazon Web Services, Nov. 13, 2023. https://aws.amazon.com/blogs/industries/banking-fraud-detection-with-machine-learning-and-real-time-analytics-on-aws/</w:t>
      </w:r>
    </w:p>
    <w:p>
      <w:pPr>
        <w:spacing w:after="140"/>
        <w:ind w:left="360" w:hanging="360"/>
      </w:pPr>
      <w:r>
        <w:rPr>
          <w:b/>
          <w:bCs/>
        </w:rPr>
        <w:t xml:space="preserve">[3] </w:t>
      </w:r>
      <w:r>
        <w:t xml:space="preserve">Financial Crimes Enforcement Network (FinCEN) and the U.S. Bank Secrecy Act, as referenced in: “Advanced fraud detection using machine learning models: enhancing financial transaction security,” arXiv:2506.10842, 2025. https://arxiv.org/pdf/2506.10842</w:t>
      </w:r>
    </w:p>
    <w:p>
      <w:pPr>
        <w:spacing w:after="140"/>
        <w:ind w:left="360" w:hanging="360"/>
      </w:pPr>
      <w:r>
        <w:rPr>
          <w:b/>
          <w:bCs/>
        </w:rPr>
        <w:t xml:space="preserve">[4] </w:t>
      </w:r>
      <w:r>
        <w:t xml:space="preserve">“AI-driven transaction monitoring: The future of AML, fraud detection, and risk management in banking,” Robotics &amp; Automation News, Feb. 19, 2026. https://roboticsandautomationnews.com/2026/02/19/ai-driven-transaction-monitoring-the-future-of-fraud-and-risk-management-in-global-banking/98981/</w:t>
      </w:r>
    </w:p>
    <w:p>
      <w:pPr>
        <w:spacing w:after="140"/>
        <w:ind w:left="360" w:hanging="360"/>
      </w:pPr>
      <w:r>
        <w:rPr>
          <w:b/>
          <w:bCs/>
        </w:rPr>
        <w:t xml:space="preserve">[5] </w:t>
      </w:r>
      <w:r>
        <w:t xml:space="preserve">“US FinTech Compliance: PCI-DSS, KYC &amp; AML Explained,” NewAge Systit, Apr. 20, 2026. https://newagesysit.com/blog/us-fintech-security-regulatory-compliance-pci-dss-kyc-aml-explained/</w:t>
      </w:r>
    </w:p>
    <w:p>
      <w:pPr>
        <w:spacing w:after="140"/>
        <w:ind w:left="360" w:hanging="360"/>
      </w:pPr>
      <w:r>
        <w:rPr>
          <w:b/>
          <w:bCs/>
        </w:rPr>
        <w:t xml:space="preserve">[6] </w:t>
      </w:r>
      <w:r>
        <w:t xml:space="preserve">PCI Security Standards Council, PCI DSS v4.0, 2022; FinCEN SAR requirements, 2021; as cited in “Advanced fraud detection using machine learning models: enhancing financial transaction security,” Section 5.3, arXiv:2506.10842. https://arxiv.org/pdf/2506.10842</w:t>
      </w:r>
    </w:p>
    <w:p>
      <w:pPr>
        <w:spacing w:after="140"/>
        <w:ind w:left="360" w:hanging="360"/>
      </w:pPr>
      <w:r>
        <w:rPr>
          <w:b/>
          <w:bCs/>
        </w:rPr>
        <w:t xml:space="preserve">[7] </w:t>
      </w:r>
      <w:r>
        <w:t xml:space="preserve">S. M. Lundberg and S.-I. Lee, SHAP (SHapley Additive exPlanations), referenced via “Explainable ensemble machine learning for financial transaction fraud detection: Insights from XGBoost and deep neural networks,” ScienceDirect, 2026. https://www.sciencedirect.com/science/article/pii/S2405918826000206</w:t>
      </w:r>
    </w:p>
    <w:p>
      <w:pPr>
        <w:spacing w:after="140"/>
        <w:ind w:left="360" w:hanging="360"/>
      </w:pPr>
      <w:r>
        <w:rPr>
          <w:b/>
          <w:bCs/>
        </w:rPr>
        <w:t xml:space="preserve">[8] </w:t>
      </w:r>
      <w:r>
        <w:t xml:space="preserve">“Machine Learning Approach for Fraud Detection System in Financial Institution: A Web Base Application,” ResearchGate, Apr. 2024. https://www.researchgate.net/publication/380174951_Machine_Learning_Approach_for_Fraud_Detection_System_in_Financial_Institution_A_Web_Base_Application</w:t>
      </w:r>
    </w:p>
    <w:p>
      <w:pPr>
        <w:spacing w:after="140"/>
        <w:ind w:left="360" w:hanging="360"/>
      </w:pPr>
      <w:r>
        <w:rPr>
          <w:b/>
          <w:bCs/>
        </w:rPr>
        <w:t xml:space="preserve">[9] </w:t>
      </w:r>
      <w:r>
        <w:t xml:space="preserve">“Enhancing credit card fraud detection with a stacking-based hybrid machine learning approach,” PMC, National Center for Biotechnology Information. https://pmc.ncbi.nlm.nih.gov/articles/PMC12453863/</w:t>
      </w:r>
    </w:p>
    <w:p>
      <w:pPr>
        <w:spacing w:after="140"/>
        <w:ind w:left="360" w:hanging="360"/>
      </w:pPr>
      <w:r>
        <w:rPr>
          <w:b/>
          <w:bCs/>
        </w:rPr>
        <w:t xml:space="preserve">[10] </w:t>
      </w:r>
      <w:r>
        <w:t xml:space="preserve">“AI Fraud Detection in Banking 2026 Guide,” Emburse, May 15, 2026. https://www.emburse.com/resources/ai-fraud-detection-in-banking</w:t>
      </w:r>
    </w:p>
    <w:p>
      <w:pPr>
        <w:spacing w:after="140"/>
        <w:ind w:left="360" w:hanging="360"/>
      </w:pPr>
      <w:r>
        <w:rPr>
          <w:b/>
          <w:bCs/>
        </w:rPr>
        <w:t xml:space="preserve">[11] </w:t>
      </w:r>
      <w:r>
        <w:t xml:space="preserve">“Enhancing Fraud Detection in Banking with Rule-Based Decision Engines,” Higson Blog, Jun. 20, 2024. https://www.higson.io/blog/enhancing-fraud-detection-in-banking-with-rule-based-decision-engines</w:t>
      </w:r>
    </w:p>
    <w:p>
      <w:pPr>
        <w:spacing w:after="140"/>
        <w:ind w:left="360" w:hanging="360"/>
      </w:pPr>
      <w:r>
        <w:rPr>
          <w:b/>
          <w:bCs/>
        </w:rPr>
        <w:t xml:space="preserve">[12] </w:t>
      </w:r>
      <w:r>
        <w:t xml:space="preserve">“Fraud Detection Using Machine Learning in Banking,” Tookitaki Compliance Hub. https://www.tookitaki.com/compliance-hub/fraud-detection-using-machine-learning-in-banking</w:t>
      </w:r>
    </w:p>
    <w:p>
      <w:pPr>
        <w:spacing w:after="140"/>
        <w:ind w:left="360" w:hanging="360"/>
      </w:pPr>
      <w:r>
        <w:rPr>
          <w:b/>
          <w:bCs/>
        </w:rPr>
        <w:t xml:space="preserve">[13] </w:t>
      </w:r>
      <w:r>
        <w:t xml:space="preserve">“Fraud Detection Using Machine Learning vs. Rules-Based Systems,” Fraud.net Resources, Apr. 1, 2026. https://www.fraud.net/resources/fraud-detection-using-machine-learning-vs-rules-based-systems</w:t>
      </w:r>
    </w:p>
    <w:p>
      <w:pPr>
        <w:spacing w:after="140"/>
        <w:ind w:left="360" w:hanging="360"/>
      </w:pPr>
      <w:r>
        <w:rPr>
          <w:b/>
          <w:bCs/>
        </w:rPr>
        <w:t xml:space="preserve">[14] </w:t>
      </w:r>
      <w:r>
        <w:t xml:space="preserve">“Machine Learning for Financial Fraud Detection: Use Cases &amp; Best Practices,” Svitla Systems, Feb. 13, 2026. https://svitla.com/blog/machine-learning-for-financial-fraud-detection/</w:t>
      </w:r>
    </w:p>
    <w:p>
      <w:pPr>
        <w:spacing w:after="140"/>
        <w:ind w:left="360" w:hanging="360"/>
      </w:pPr>
      <w:r>
        <w:rPr>
          <w:b/>
          <w:bCs/>
        </w:rPr>
        <w:t xml:space="preserve">[16] </w:t>
      </w:r>
      <w:r>
        <w:t xml:space="preserve">“AI Fraud Detection in Banking 2026 Guide” (hybrid deployment and staged-rollout discussion), Emburse, May 15, 2026. https://www.emburse.com/resources/ai-fraud-detection-in-banking</w:t>
      </w:r>
    </w:p>
    <w:p>
      <w:pPr>
        <w:spacing w:after="140"/>
        <w:ind w:left="360" w:hanging="360"/>
      </w:pPr>
      <w:r>
        <w:rPr>
          <w:b/>
          <w:bCs/>
        </w:rPr>
        <w:t xml:space="preserve">[17] </w:t>
      </w:r>
      <w:r>
        <w:t xml:space="preserve">A. Mohan, “Banking Fraud Detection with Machine Learning and Real-time Analytics on AWS” (continuous retraining discussion), AWS for Industries Blog, Nov. 13, 2023. https://aws.amazon.com/blogs/industries/banking-fraud-detection-with-machine-learning-and-real-time-analytics-on-aws/</w:t>
      </w:r>
    </w:p>
    <w:p>
      <w:pPr>
        <w:spacing w:after="140"/>
        <w:ind w:left="360" w:hanging="360"/>
      </w:pPr>
      <w:r>
        <w:rPr>
          <w:b/>
          <w:bCs/>
        </w:rPr>
        <w:t xml:space="preserve">[19] </w:t>
      </w:r>
      <w:r>
        <w:t xml:space="preserve">“A High-Recall Cost-Sensitive Machine Learning Framework for Real-Time Online Banking Transaction Fraud Detection,” arXiv:2601.07276. https://arxiv.org/pdf/2601.07276</w:t>
      </w:r>
    </w:p>
    <w:p>
      <w:pPr>
        <w:spacing w:after="140"/>
        <w:ind w:left="360" w:hanging="360"/>
      </w:pPr>
      <w:r>
        <w:rPr>
          <w:b/>
          <w:bCs/>
        </w:rPr>
        <w:t xml:space="preserve">[21] </w:t>
      </w:r>
      <w:r>
        <w:t xml:space="preserve">General Data Protection Regulation (GDPR) data-protection principles, as referenced in: “Expertise: Security and compliance,” Digital Bank Expert, Apr. 1, 2026. https://digitalbankexpert.com/security-and-compliance/</w:t>
      </w:r>
    </w:p>
    <w:p>
      <w:pPr>
        <w:spacing w:after="140"/>
        <w:ind w:left="360" w:hanging="360"/>
      </w:pPr>
      <w:r>
        <w:rPr>
          <w:b/>
          <w:bCs/>
        </w:rPr>
        <w:t xml:space="preserve">[29] </w:t>
      </w:r>
      <w:r>
        <w:t xml:space="preserve">“Explainable ensemble machine learning for financial transaction fraud detection: Insights from XGBoost and deep neural networks,” ScienceDirect, 2026. https://www.sciencedirect.com/science/article/pii/S2405918826000206</w:t>
      </w:r>
    </w:p>
    <w:p>
      <w:pPr>
        <w:spacing w:after="140"/>
        <w:ind w:left="360" w:hanging="360"/>
      </w:pPr>
      <w:r>
        <w:rPr>
          <w:b/>
          <w:bCs/>
        </w:rPr>
        <w:t xml:space="preserve">[30] </w:t>
      </w:r>
      <w:r>
        <w:t xml:space="preserve">“Enhancing credit card fraud detection with a stacking-based hybrid machine learning approach,” NCBI/PMC, 2025. https://www.ncbi.nlm.nih.gov/pmc/articles/PMC12453863/</w:t>
      </w:r>
    </w:p>
    <w:p>
      <w:pPr>
        <w:spacing w:after="140"/>
        <w:ind w:left="360" w:hanging="360"/>
      </w:pPr>
      <w:r>
        <w:rPr>
          <w:b/>
          <w:bCs/>
        </w:rPr>
        <w:t xml:space="preserve">[31] </w:t>
      </w:r>
      <w:r>
        <w:t xml:space="preserve">“Enhancing credit card fraud detection with a stacking-based hybrid machine learning approach,” PMC (full text, methodology and F1-score result), 2025. https://pmc.ncbi.nlm.nih.gov/articles/PMC12453863/</w:t>
      </w:r>
    </w:p>
    <w:p>
      <w:pPr>
        <w:spacing w:after="140"/>
        <w:ind w:left="360" w:hanging="360"/>
      </w:pPr>
      <w:r>
        <w:rPr>
          <w:b/>
          <w:bCs/>
        </w:rPr>
        <w:t xml:space="preserve">[33] </w:t>
      </w:r>
      <w:r>
        <w:t xml:space="preserve">“Building Resilience in Banking Against Fraud with Hyper Ensemble Machine Learning and Anomaly Detection Strategies,” SN Computer Science, Springer Nature, May 17, 2024. https://link.springer.com/article/10.1007/s42979-024-02854-w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AI-Powered Fraud Detection System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75B6"/>
      <w:sz w:val="25"/>
      <w:szCs w:val="25"/>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2026-06-30T01:21:18.042Z</dcterms:created>
  <dcterms:modified xsi:type="dcterms:W3CDTF">2026-06-30T01:21:18.053Z</dcterms:modified>
</cp:coreProperties>
</file>

<file path=docProps/custom.xml><?xml version="1.0" encoding="utf-8"?>
<Properties xmlns="http://schemas.openxmlformats.org/officeDocument/2006/custom-properties" xmlns:vt="http://schemas.openxmlformats.org/officeDocument/2006/docPropsVTypes"/>
</file>