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0" w:type="auto"/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1134"/>
        <w:gridCol w:w="1134"/>
        <w:gridCol w:w="1134"/>
        <w:gridCol w:w="1558"/>
      </w:tblGrid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DF2C9E" w:rsidRDefault="00DF2C9E" w:rsidP="00CC1A0C">
            <w:pPr>
              <w:spacing w:line="240" w:lineRule="auto"/>
              <w:jc w:val="center"/>
            </w:pPr>
            <w:proofErr w:type="spellStart"/>
            <w:r>
              <w:t>ChEMBL</w:t>
            </w:r>
            <w:proofErr w:type="spellEnd"/>
          </w:p>
          <w:p w:rsidR="00DF2C9E" w:rsidRPr="00A072B7" w:rsidRDefault="00DF2C9E" w:rsidP="00CC1A0C">
            <w:pPr>
              <w:spacing w:line="240" w:lineRule="auto"/>
              <w:jc w:val="center"/>
            </w:pPr>
            <w:r w:rsidRPr="00A072B7">
              <w:t>T</w:t>
            </w:r>
            <w:r>
              <w:t>arget ID</w:t>
            </w:r>
          </w:p>
        </w:tc>
        <w:tc>
          <w:tcPr>
            <w:tcW w:w="2268" w:type="dxa"/>
            <w:noWrap/>
            <w:vAlign w:val="center"/>
            <w:hideMark/>
          </w:tcPr>
          <w:p w:rsidR="00DF2C9E" w:rsidRPr="00A072B7" w:rsidRDefault="00DF2C9E" w:rsidP="00CC1A0C">
            <w:pPr>
              <w:spacing w:line="240" w:lineRule="auto"/>
              <w:jc w:val="center"/>
              <w:rPr>
                <w:rFonts w:hint="eastAsia"/>
              </w:rPr>
            </w:pPr>
            <w:r>
              <w:t>Activity class name</w:t>
            </w:r>
          </w:p>
        </w:tc>
        <w:tc>
          <w:tcPr>
            <w:tcW w:w="1134" w:type="dxa"/>
            <w:noWrap/>
            <w:vAlign w:val="center"/>
            <w:hideMark/>
          </w:tcPr>
          <w:p w:rsidR="00DF2C9E" w:rsidRPr="00A072B7" w:rsidRDefault="00DF2C9E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#</w:t>
            </w:r>
            <w:proofErr w:type="gramStart"/>
            <w:r w:rsidRPr="00A072B7">
              <w:rPr>
                <w:rFonts w:hint="eastAsia"/>
              </w:rPr>
              <w:t>cpds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DF2C9E" w:rsidRPr="00A072B7" w:rsidRDefault="00DF2C9E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#</w:t>
            </w:r>
            <w:proofErr w:type="gramStart"/>
            <w:r w:rsidRPr="00A072B7">
              <w:rPr>
                <w:rFonts w:hint="eastAsia"/>
              </w:rPr>
              <w:t>mmp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DF2C9E" w:rsidRPr="00A072B7" w:rsidRDefault="00DF2C9E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#</w:t>
            </w:r>
            <w:proofErr w:type="gramStart"/>
            <w:r w:rsidRPr="00A072B7">
              <w:rPr>
                <w:rFonts w:hint="eastAsia"/>
              </w:rPr>
              <w:t>mms</w:t>
            </w:r>
            <w:proofErr w:type="gramEnd"/>
          </w:p>
        </w:tc>
        <w:tc>
          <w:tcPr>
            <w:tcW w:w="1558" w:type="dxa"/>
            <w:noWrap/>
            <w:vAlign w:val="center"/>
            <w:hideMark/>
          </w:tcPr>
          <w:p w:rsidR="00DF2C9E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leakage excluded set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</w:pPr>
            <w:r>
              <w:rPr>
                <w:rFonts w:hint="eastAsia"/>
              </w:rPr>
              <w:t>244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Coagulation factor X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507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3283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Prothrombin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336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2179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3594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315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2108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278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350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2091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304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347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2091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309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Histamine H3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2017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12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289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1751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proofErr w:type="gramStart"/>
            <w:r w:rsidRPr="00A072B7">
              <w:rPr>
                <w:rFonts w:hint="eastAsia"/>
              </w:rPr>
              <w:t>D(</w:t>
            </w:r>
            <w:proofErr w:type="gramEnd"/>
            <w:r w:rsidRPr="00A072B7">
              <w:rPr>
                <w:rFonts w:hint="eastAsia"/>
              </w:rPr>
              <w:t>2) dopamine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1362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126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Cannabinoid receptor 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257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1125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3837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 w:rsidRPr="00A072B7">
              <w:rPr>
                <w:rFonts w:hint="eastAsia"/>
              </w:rPr>
              <w:t>Procathepsin</w:t>
            </w:r>
            <w:proofErr w:type="spellEnd"/>
            <w:r w:rsidRPr="00A072B7">
              <w:rPr>
                <w:rFonts w:hint="eastAsia"/>
              </w:rPr>
              <w:t xml:space="preserve"> L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1102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Delta-type opioid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186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1093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proofErr w:type="gramStart"/>
            <w:r w:rsidRPr="00A072B7">
              <w:rPr>
                <w:rFonts w:hint="eastAsia"/>
              </w:rPr>
              <w:t>D(</w:t>
            </w:r>
            <w:proofErr w:type="gramEnd"/>
            <w:r w:rsidRPr="00A072B7">
              <w:rPr>
                <w:rFonts w:hint="eastAsia"/>
              </w:rPr>
              <w:t>3) dopamine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1054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Kappa-type opioid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190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1039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Adenosine receptor A2a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1010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Sodium-dependent serotonin transporter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923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3880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Heat shock protein HSP 90-alpha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120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894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Dipeptidyl peptidase 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884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Adenosine receptor A2b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841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256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Adenosine receptor A3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796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3991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Coagulation factor VII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775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1A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708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Melanin-concentrating hormone receptor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686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62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1075323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 w:rsidRPr="00A072B7">
              <w:rPr>
                <w:rFonts w:hint="eastAsia"/>
              </w:rPr>
              <w:t>Endoplasmin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672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2326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627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Mu-type opioid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625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2A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608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4657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Dipeptidyl peptidase 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601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Cannabinoid receptor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182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583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2034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Glucocorticoid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554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 xml:space="preserve">Proto-oncogene tyrosine-protein kinase </w:t>
            </w:r>
            <w:proofErr w:type="spellStart"/>
            <w:r w:rsidRPr="00A072B7">
              <w:rPr>
                <w:rFonts w:hint="eastAsia"/>
              </w:rPr>
              <w:t>Src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501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72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4793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Dipeptidyl peptidase 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500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1902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Peptidyl-prolyl cis-trans isomerase FKBP1A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463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2147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Serine/threonine-protein kinase pim-1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459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2820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Coagulation factor XI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436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4409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 xml:space="preserve">cAMP and cAMP-inhibited cGMP </w:t>
            </w:r>
            <w:r w:rsidRPr="00A072B7">
              <w:rPr>
                <w:rFonts w:hint="eastAsia"/>
              </w:rPr>
              <w:lastRenderedPageBreak/>
              <w:t>3',5'-cyclic phosphodiesterase 10A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lastRenderedPageBreak/>
              <w:t>79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422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Sodium-dependent noradrenaline transporter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406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Alpha-1A adrenergic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391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3729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391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4523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Serine/threonine-protein kinase pim-2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369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Corticotropin-releasing factor receptor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361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1862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Tyrosine-protein kinase ABL1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355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3717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Hepatocyte growth factor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343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Adenosine receptor A1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320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3371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317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4308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B1 bradykinin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311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2954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Cathepsin S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306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proofErr w:type="gramStart"/>
            <w:r w:rsidRPr="00A072B7">
              <w:rPr>
                <w:rFonts w:hint="eastAsia"/>
              </w:rPr>
              <w:t>D(</w:t>
            </w:r>
            <w:proofErr w:type="gramEnd"/>
            <w:r w:rsidRPr="00A072B7">
              <w:rPr>
                <w:rFonts w:hint="eastAsia"/>
              </w:rPr>
              <w:t>4) dopamine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302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4072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Cathepsin B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108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287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Alpha-1B adrenergic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284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Tyrosine-protein phosphatase non-receptor type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278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TRUE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1871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Androgen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268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225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2C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264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3759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Histamine H4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258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Poly [ADP-ribose] polymerase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Melanocortin receptor 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Sodium-dependent dopamine transporter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32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1855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Gonadotropin-releasing hormone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Mitogen-activated protein kinase 14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224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3891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Calpain-1 catalytic subunit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Plasma kallikrein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1875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2842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Serine/threonine-protein kinase mTOR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4822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Beta-secretase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Collagenase 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3473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C-C chemokine receptor type 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3510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Carbonic anhydrase 14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199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2617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Tryptase alpha/beta-1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196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6136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Lysine-specific histone demethylase 1A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183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2360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 xml:space="preserve">Hypoxanthine-guanine </w:t>
            </w:r>
            <w:proofErr w:type="spellStart"/>
            <w:r w:rsidRPr="00A072B7">
              <w:rPr>
                <w:rFonts w:hint="eastAsia"/>
              </w:rPr>
              <w:t>phosphoribosyltransferase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179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1833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2B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173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1D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1741186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Nuclear receptor ROR-gamma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1926488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Protoporphyrinogen oxidase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2971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Tyrosine-protein kinase JAK2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4792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Orexin receptor type 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Phosphatidylinositol 4,5-bisphosphate 3-kinase catalytic subunit alpha isoform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5023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E3 ubiquitin-protein ligase Mdm2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1898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5-hydroxytryptamine receptor 1B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 xml:space="preserve">72 </w:t>
            </w:r>
            <w:proofErr w:type="spellStart"/>
            <w:r w:rsidRPr="00A072B7">
              <w:rPr>
                <w:rFonts w:hint="eastAsia"/>
              </w:rPr>
              <w:t>kDa</w:t>
            </w:r>
            <w:proofErr w:type="spellEnd"/>
            <w:r w:rsidRPr="00A072B7">
              <w:rPr>
                <w:rFonts w:hint="eastAsia"/>
              </w:rPr>
              <w:t xml:space="preserve"> type IV collagenase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5407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Serine/threonine-protein kinase pim-3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1163125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Bromodomain-containing protein 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Muscarinic acetylcholine receptor M1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141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5113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Orexin/Hypocretin receptor type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19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3018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Suppressor of tumorigenicity 14 protein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135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4482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Serine/threonine-protein kinase PAK 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129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1795117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Histone-lysine N-methyltransferase, H3 lysine-79 specific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129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Dihydrofolate reductase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121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235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Peroxisome proliferator-activated receptor gamma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3922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Methionine aminopeptidase 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2079846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 xml:space="preserve">Son of </w:t>
            </w:r>
            <w:proofErr w:type="spellStart"/>
            <w:r w:rsidRPr="00A072B7">
              <w:rPr>
                <w:rFonts w:hint="eastAsia"/>
              </w:rPr>
              <w:t>sevenless</w:t>
            </w:r>
            <w:proofErr w:type="spellEnd"/>
            <w:r w:rsidRPr="00A072B7">
              <w:rPr>
                <w:rFonts w:hint="eastAsia"/>
              </w:rPr>
              <w:t xml:space="preserve"> homolog 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2056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D(1A) dopamine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113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24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3267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Phosphatidylinositol 4,5-bisphosphate 3-kinase catalytic subunit gamma isoform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47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15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Matrix metalloproteinase-9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49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95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20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4361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Induced myeloid leukemia cell differentiation protein Mcl-1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90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1946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Melatonin receptor type 1B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 w:rsidRPr="00A072B7">
              <w:rPr>
                <w:rFonts w:hint="eastAsia"/>
              </w:rPr>
              <w:t>Nociceptin</w:t>
            </w:r>
            <w:proofErr w:type="spellEnd"/>
            <w:r w:rsidRPr="00A072B7">
              <w:rPr>
                <w:rFonts w:hint="eastAsia"/>
              </w:rPr>
              <w:t xml:space="preserve">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28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86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8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3979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Peroxisome proliferator-activated receptor delta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74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C1A0C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208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Progesterone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53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73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21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82295">
        <w:trPr>
          <w:trHeight w:val="400"/>
        </w:trPr>
        <w:tc>
          <w:tcPr>
            <w:tcW w:w="1276" w:type="dxa"/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203</w:t>
            </w:r>
          </w:p>
        </w:tc>
        <w:tc>
          <w:tcPr>
            <w:tcW w:w="226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Epidermal growth factor receptor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32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69</w:t>
            </w:r>
          </w:p>
        </w:tc>
        <w:tc>
          <w:tcPr>
            <w:tcW w:w="1134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12</w:t>
            </w:r>
          </w:p>
        </w:tc>
        <w:tc>
          <w:tcPr>
            <w:tcW w:w="1558" w:type="dxa"/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  <w:tr w:rsidR="00CC1A0C" w:rsidRPr="00A072B7" w:rsidTr="00C82295">
        <w:trPr>
          <w:trHeight w:val="400"/>
        </w:trPr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CC1A0C" w:rsidRDefault="00CC1A0C" w:rsidP="00CC1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Glycogen synthase kinase-3 beta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68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22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CC1A0C" w:rsidRPr="00A072B7" w:rsidRDefault="00CC1A0C" w:rsidP="00CC1A0C">
            <w:pPr>
              <w:spacing w:line="240" w:lineRule="auto"/>
              <w:jc w:val="center"/>
              <w:rPr>
                <w:rFonts w:hint="eastAsia"/>
              </w:rPr>
            </w:pPr>
            <w:r w:rsidRPr="00A072B7">
              <w:rPr>
                <w:rFonts w:hint="eastAsia"/>
              </w:rPr>
              <w:t>FALSE</w:t>
            </w:r>
          </w:p>
        </w:tc>
      </w:tr>
    </w:tbl>
    <w:p w:rsidR="00774093" w:rsidRDefault="00774093">
      <w:pPr>
        <w:spacing w:line="240" w:lineRule="auto"/>
      </w:pPr>
    </w:p>
    <w:p w:rsidR="00C82295" w:rsidRDefault="00C82295" w:rsidP="00C82295">
      <w:r>
        <w:rPr>
          <w:b/>
          <w:bCs/>
        </w:rPr>
        <w:t xml:space="preserve">Supplementally </w:t>
      </w:r>
      <w:r w:rsidRPr="00555BEB">
        <w:rPr>
          <w:b/>
          <w:bCs/>
        </w:rPr>
        <w:t xml:space="preserve">Table </w:t>
      </w:r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t xml:space="preserve"> </w:t>
      </w:r>
      <w:r w:rsidRPr="00C82295">
        <w:t>Profiles of the data sets</w:t>
      </w:r>
    </w:p>
    <w:p w:rsidR="00C82295" w:rsidRDefault="00C82295" w:rsidP="00C82295">
      <w:pPr>
        <w:jc w:val="both"/>
      </w:pPr>
      <w:r w:rsidRPr="00C82295">
        <w:t xml:space="preserve">For each </w:t>
      </w:r>
      <w:r>
        <w:t>activity class</w:t>
      </w:r>
      <w:r w:rsidRPr="00C82295">
        <w:t xml:space="preserve">, the </w:t>
      </w:r>
      <w:proofErr w:type="spellStart"/>
      <w:r w:rsidRPr="00C82295">
        <w:t>ChEMBL</w:t>
      </w:r>
      <w:proofErr w:type="spellEnd"/>
      <w:r w:rsidRPr="00C82295">
        <w:t xml:space="preserve"> </w:t>
      </w:r>
      <w:r>
        <w:t>target ID</w:t>
      </w:r>
      <w:r w:rsidRPr="00C82295">
        <w:t>, number of compounds</w:t>
      </w:r>
      <w:r>
        <w:t xml:space="preserve"> used for MMP generation</w:t>
      </w:r>
      <w:r w:rsidRPr="00C82295">
        <w:t xml:space="preserve"> (</w:t>
      </w:r>
      <w:r>
        <w:t>#cpd</w:t>
      </w:r>
      <w:r w:rsidRPr="00C82295">
        <w:t xml:space="preserve">), </w:t>
      </w:r>
      <w:r>
        <w:t xml:space="preserve">number of generated MMPs (#mmp), number of matched molecular </w:t>
      </w:r>
      <w:r w:rsidR="00F20CDC">
        <w:t>series</w:t>
      </w:r>
      <w:r>
        <w:t xml:space="preserve"> (</w:t>
      </w:r>
      <w:r w:rsidR="00F20CDC">
        <w:t>#mms</w:t>
      </w:r>
      <w:r>
        <w:t>)</w:t>
      </w:r>
      <w:r w:rsidR="00F20CDC">
        <w:t xml:space="preserve"> which consist of MMPs having common core structure, and </w:t>
      </w:r>
      <w:proofErr w:type="spellStart"/>
      <w:r w:rsidR="00F20CDC">
        <w:t>booleans</w:t>
      </w:r>
      <w:proofErr w:type="spellEnd"/>
      <w:r w:rsidR="00F20CDC">
        <w:t xml:space="preserve"> indicating whether activity classes were used for the data leakage excluded set or not</w:t>
      </w:r>
      <w:r>
        <w:t xml:space="preserve"> </w:t>
      </w:r>
      <w:r w:rsidRPr="00C82295">
        <w:t>are listed</w:t>
      </w:r>
      <w:r w:rsidR="00F20CDC">
        <w:t>.</w:t>
      </w:r>
      <w:r w:rsidR="00D847AA">
        <w:t xml:space="preserve"> </w:t>
      </w:r>
      <w:r w:rsidR="00D847AA" w:rsidRPr="00D847AA">
        <w:t xml:space="preserve">The </w:t>
      </w:r>
      <w:r w:rsidR="00D847AA">
        <w:t>activity classes</w:t>
      </w:r>
      <w:r w:rsidR="00D847AA" w:rsidRPr="00D847AA">
        <w:t xml:space="preserve"> </w:t>
      </w:r>
      <w:r w:rsidR="00D847AA">
        <w:t>are</w:t>
      </w:r>
      <w:r w:rsidR="00D847AA" w:rsidRPr="00D847AA">
        <w:t xml:space="preserve"> ordered by the number of MMPs.</w:t>
      </w:r>
    </w:p>
    <w:p w:rsidR="00774093" w:rsidRPr="00D847AA" w:rsidRDefault="00774093">
      <w:pPr>
        <w:spacing w:line="240" w:lineRule="auto"/>
      </w:pPr>
    </w:p>
    <w:p w:rsidR="00774093" w:rsidRDefault="00774093">
      <w:pPr>
        <w:spacing w:line="240" w:lineRule="auto"/>
      </w:pPr>
      <w:r>
        <w:br w:type="page"/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203"/>
        <w:gridCol w:w="4490"/>
        <w:gridCol w:w="1846"/>
        <w:gridCol w:w="965"/>
      </w:tblGrid>
      <w:tr w:rsidR="00774093" w:rsidTr="007752DD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lastRenderedPageBreak/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Hyperparameter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Range(interval)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log scale</w:t>
            </w:r>
          </w:p>
        </w:tc>
      </w:tr>
      <w:tr w:rsidR="00774093" w:rsidTr="007752DD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number of decision trees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50 - 1000 (1)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maximum depth of a tree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4 - 50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minimum samples to split a node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  <w:r>
              <w:t xml:space="preserve">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True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proofErr w:type="spellStart"/>
            <w:r>
              <w:t>xgb</w:t>
            </w:r>
            <w:proofErr w:type="spellEnd"/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alpha for L1 regulation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  <w:r>
              <w:t xml:space="preserve">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True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lambda for L2 regulation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  <w:r>
              <w:t xml:space="preserve">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True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subsample ratio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0.2 - 1.0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proofErr w:type="spellStart"/>
            <w:r>
              <w:t>colsample</w:t>
            </w:r>
            <w:proofErr w:type="spellEnd"/>
            <w:r>
              <w:t xml:space="preserve"> rate by tree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0.2 - 1.0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maximum depth of a tree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3 - 9 (2)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minimum sum of weights in split nodes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2 - 10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eta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  <w:r>
              <w:t xml:space="preserve">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True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gamma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  <w:r>
              <w:t xml:space="preserve"> - 1.0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True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cnn</w:t>
            </w:r>
            <w:proofErr w:type="spellEnd"/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hidden layers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2 - 3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dropout rate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0.25 - 0.50 (0.25)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 xml:space="preserve">learning rate of </w:t>
            </w:r>
            <w:proofErr w:type="spellStart"/>
            <w:r>
              <w:t>adam</w:t>
            </w:r>
            <w:proofErr w:type="spellEnd"/>
            <w:r>
              <w:t xml:space="preserve"> optimizer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  <w:r>
              <w:t xml:space="preserve"> - 10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steps for the scheduler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1 - 3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proofErr w:type="spellStart"/>
            <w:r>
              <w:t>fcnn_sep</w:t>
            </w:r>
            <w:proofErr w:type="spellEnd"/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hidden layers for core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1 - 4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hidden layers for substituents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1 - 4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hidden layers for concatenated feature vector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2 - 8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dimension of feature vector for core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70 - 100 (10)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dimension of feature vector for substituents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70 - 100 (10)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dropout rate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0.1 - 0.3 (0.05)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 xml:space="preserve">learning rate of </w:t>
            </w:r>
            <w:proofErr w:type="spellStart"/>
            <w:r>
              <w:t>adam</w:t>
            </w:r>
            <w:proofErr w:type="spellEnd"/>
            <w:r>
              <w:t xml:space="preserve"> optimizer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  <w:r>
              <w:t xml:space="preserve"> - 10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steps for the scheduler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1 - 3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pnn</w:t>
            </w:r>
            <w:proofErr w:type="spellEnd"/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convolutions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2 - 4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dimension of feature vector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70 - 100 (10)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hidden layers of FCNN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2 - 8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dropout rate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0.1 - 0.3 (0.05)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 xml:space="preserve">learning rate of </w:t>
            </w:r>
            <w:proofErr w:type="spellStart"/>
            <w:r>
              <w:t>adam</w:t>
            </w:r>
            <w:proofErr w:type="spellEnd"/>
            <w:r>
              <w:t xml:space="preserve"> optimizer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  <w:r>
              <w:t xml:space="preserve"> - 10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steps for the scheduler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1 - 3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proofErr w:type="spellStart"/>
            <w:r>
              <w:t>mpnn_sep</w:t>
            </w:r>
            <w:proofErr w:type="spellEnd"/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convolutions for core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2 - 4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convolutions for substituents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2 - 4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dimension of feature vector for core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70 - 100 (10)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dimension of feature vector for substituents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70 - 100 (10)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number of hidden layers of FCNN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2 - 8 (1)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dropout rate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0.1 - 0.3 (0.05)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 xml:space="preserve">learning rate of </w:t>
            </w:r>
            <w:proofErr w:type="spellStart"/>
            <w:r>
              <w:t>adam</w:t>
            </w:r>
            <w:proofErr w:type="spellEnd"/>
            <w:r>
              <w:t xml:space="preserve"> optimizer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  <w:r>
              <w:t xml:space="preserve"> - 10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  <w:tr w:rsidR="00774093" w:rsidTr="007752DD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number of steps for the scheduler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1 - 3 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74093" w:rsidRDefault="00774093" w:rsidP="007752DD">
            <w:pPr>
              <w:jc w:val="center"/>
            </w:pPr>
            <w:r>
              <w:t>False</w:t>
            </w:r>
          </w:p>
        </w:tc>
      </w:tr>
    </w:tbl>
    <w:p w:rsidR="00774093" w:rsidRDefault="00774093" w:rsidP="00774093">
      <w:r>
        <w:rPr>
          <w:b/>
          <w:bCs/>
        </w:rPr>
        <w:t xml:space="preserve">Supplementally </w:t>
      </w:r>
      <w:r w:rsidRPr="00555BEB">
        <w:rPr>
          <w:b/>
          <w:bCs/>
        </w:rPr>
        <w:t xml:space="preserve">Table </w:t>
      </w:r>
      <w:r>
        <w:rPr>
          <w:b/>
          <w:bCs/>
        </w:rPr>
        <w:t>2.</w:t>
      </w:r>
      <w:r>
        <w:t xml:space="preserve"> Hyperparameters of models</w:t>
      </w:r>
    </w:p>
    <w:p w:rsidR="00D64626" w:rsidRDefault="00774093" w:rsidP="00774093">
      <w:pPr>
        <w:spacing w:line="240" w:lineRule="auto"/>
      </w:pPr>
      <w:r>
        <w:br w:type="page"/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845"/>
        <w:gridCol w:w="1840"/>
        <w:gridCol w:w="4311"/>
        <w:gridCol w:w="1508"/>
      </w:tblGrid>
      <w:tr w:rsidR="00D64626" w:rsidTr="007752DD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lastRenderedPageBreak/>
              <w:t>Part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Descriptor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Dimensions</w:t>
            </w:r>
          </w:p>
        </w:tc>
      </w:tr>
      <w:tr w:rsidR="00D64626" w:rsidTr="007752DD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Atom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Atom type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Atomic number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118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Degree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Number of neighboring heavy atoms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6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Formal Charge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Formal charge (− 2, − 1, 0, 1, 2)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5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Chirality label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Nothing, R, S, or unrecognized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4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Hybridization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proofErr w:type="spellStart"/>
            <w:r>
              <w:t>sp</w:t>
            </w:r>
            <w:proofErr w:type="spellEnd"/>
            <w:r>
              <w:t>, sp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3</w:t>
            </w:r>
            <w:r>
              <w:t xml:space="preserve"> , sp</w:t>
            </w:r>
            <w:r>
              <w:rPr>
                <w:vertAlign w:val="superscript"/>
              </w:rPr>
              <w:t>3</w:t>
            </w:r>
            <w:r>
              <w:t xml:space="preserve"> d, or sp</w:t>
            </w:r>
            <w:r>
              <w:rPr>
                <w:vertAlign w:val="superscript"/>
              </w:rPr>
              <w:t>3</w:t>
            </w:r>
            <w:r>
              <w:t xml:space="preserve"> d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5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Aromaticity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Aromatic or not aromatic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1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Bond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Bond type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Single, double, triple, or aromatic ring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4</w:t>
            </w:r>
          </w:p>
        </w:tc>
      </w:tr>
      <w:tr w:rsidR="00D64626" w:rsidTr="007752DD"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Ring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Ring bond or non-ring bond</w:t>
            </w:r>
          </w:p>
        </w:tc>
        <w:tc>
          <w:tcPr>
            <w:tcW w:w="0" w:type="auto"/>
            <w:vAlign w:val="center"/>
          </w:tcPr>
          <w:p w:rsidR="00D64626" w:rsidRDefault="00D64626" w:rsidP="007752DD">
            <w:pPr>
              <w:jc w:val="center"/>
            </w:pPr>
            <w:r>
              <w:t>1</w:t>
            </w:r>
          </w:p>
        </w:tc>
      </w:tr>
      <w:tr w:rsidR="00D64626" w:rsidTr="007752DD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Bond stereo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None, any, Z, E, cis, or trans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64626" w:rsidRDefault="00D64626" w:rsidP="007752DD">
            <w:pPr>
              <w:jc w:val="center"/>
            </w:pPr>
            <w:r>
              <w:t>6</w:t>
            </w:r>
          </w:p>
        </w:tc>
      </w:tr>
    </w:tbl>
    <w:p w:rsidR="00D64626" w:rsidRDefault="00D64626" w:rsidP="00D64626">
      <w:r>
        <w:rPr>
          <w:b/>
          <w:bCs/>
        </w:rPr>
        <w:t xml:space="preserve">Supplementally </w:t>
      </w:r>
      <w:r w:rsidRPr="00555BEB">
        <w:rPr>
          <w:b/>
          <w:bCs/>
        </w:rPr>
        <w:t xml:space="preserve">Table </w:t>
      </w:r>
      <w:r w:rsidR="00774093">
        <w:rPr>
          <w:b/>
          <w:bCs/>
        </w:rPr>
        <w:t>3</w:t>
      </w:r>
      <w:r>
        <w:rPr>
          <w:b/>
          <w:bCs/>
        </w:rPr>
        <w:t>.</w:t>
      </w:r>
      <w:r>
        <w:t xml:space="preserve"> Initial invariants on atoms and bonds</w:t>
      </w:r>
    </w:p>
    <w:p w:rsidR="008743C3" w:rsidRPr="00D64626" w:rsidRDefault="008743C3"/>
    <w:sectPr w:rsidR="008743C3" w:rsidRPr="00D646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25"/>
    <w:rsid w:val="000229CA"/>
    <w:rsid w:val="000B6905"/>
    <w:rsid w:val="00216925"/>
    <w:rsid w:val="00774093"/>
    <w:rsid w:val="008743C3"/>
    <w:rsid w:val="00A072B7"/>
    <w:rsid w:val="00C82295"/>
    <w:rsid w:val="00CC1A0C"/>
    <w:rsid w:val="00D62535"/>
    <w:rsid w:val="00D64626"/>
    <w:rsid w:val="00D847AA"/>
    <w:rsid w:val="00DF2C9E"/>
    <w:rsid w:val="00E538CB"/>
    <w:rsid w:val="00F2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B581C6"/>
  <w15:chartTrackingRefBased/>
  <w15:docId w15:val="{95CC5B10-2351-BC4B-8D34-FBE3847B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925"/>
    <w:pPr>
      <w:spacing w:line="480" w:lineRule="atLeast"/>
    </w:pPr>
    <w:rPr>
      <w:rFonts w:ascii="Times New Roman" w:eastAsia="ＭＳ 明朝" w:hAnsi="Times New Roman" w:cs="Times New Roman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業績"/>
    <w:basedOn w:val="a4"/>
    <w:uiPriority w:val="1"/>
    <w:qFormat/>
    <w:rsid w:val="00E538CB"/>
    <w:rPr>
      <w:rFonts w:ascii="Arial" w:eastAsia="ＭＳ ゴシック" w:hAnsi="Arial"/>
      <w:b/>
      <w:bCs w:val="0"/>
      <w:sz w:val="22"/>
    </w:rPr>
  </w:style>
  <w:style w:type="character" w:styleId="a4">
    <w:name w:val="Strong"/>
    <w:basedOn w:val="a0"/>
    <w:uiPriority w:val="22"/>
    <w:qFormat/>
    <w:rsid w:val="00E538CB"/>
    <w:rPr>
      <w:b/>
      <w:bCs/>
    </w:rPr>
  </w:style>
  <w:style w:type="table" w:styleId="a5">
    <w:name w:val="Table Grid"/>
    <w:basedOn w:val="a1"/>
    <w:uiPriority w:val="39"/>
    <w:rsid w:val="00774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072B7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A072B7"/>
    <w:rPr>
      <w:color w:val="954F72"/>
      <w:u w:val="single"/>
    </w:rPr>
  </w:style>
  <w:style w:type="paragraph" w:customStyle="1" w:styleId="msonormal0">
    <w:name w:val="msonormal"/>
    <w:basedOn w:val="a"/>
    <w:rsid w:val="00A072B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</w:rPr>
  </w:style>
  <w:style w:type="table" w:styleId="a8">
    <w:name w:val="Grid Table Light"/>
    <w:basedOn w:val="a1"/>
    <w:uiPriority w:val="40"/>
    <w:rsid w:val="00A072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072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072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A072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Grid Table 2"/>
    <w:basedOn w:val="a1"/>
    <w:uiPriority w:val="47"/>
    <w:rsid w:val="00A072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A072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7BB49B-DB9A-904E-8E68-7898B8CE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峻佑</dc:creator>
  <cp:keywords/>
  <dc:description/>
  <cp:lastModifiedBy>田村 峻佑</cp:lastModifiedBy>
  <cp:revision>4</cp:revision>
  <cp:lastPrinted>2022-10-03T19:24:00Z</cp:lastPrinted>
  <dcterms:created xsi:type="dcterms:W3CDTF">2022-09-30T16:59:00Z</dcterms:created>
  <dcterms:modified xsi:type="dcterms:W3CDTF">2022-10-03T20:49:00Z</dcterms:modified>
</cp:coreProperties>
</file>