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218F" w14:textId="77777777" w:rsidR="006323C0" w:rsidRPr="00F75A3B" w:rsidRDefault="006323C0" w:rsidP="00F75A3B">
      <w:pPr>
        <w:pStyle w:val="Title"/>
        <w:keepNext w:val="0"/>
        <w:keepLines w:val="0"/>
        <w:spacing w:before="0" w:after="60" w:line="276" w:lineRule="auto"/>
        <w:jc w:val="center"/>
        <w:rPr>
          <w:rFonts w:eastAsia="Times New Roman"/>
          <w:b w:val="0"/>
          <w:bCs/>
          <w:color w:val="000000" w:themeColor="text1"/>
          <w:sz w:val="44"/>
          <w:szCs w:val="44"/>
          <w:lang w:val="en-GB" w:eastAsia="cs-CZ"/>
        </w:rPr>
      </w:pPr>
      <w:bookmarkStart w:id="0" w:name="_heading=h.5j8zu6scs1uo" w:colFirst="0" w:colLast="0"/>
      <w:bookmarkEnd w:id="0"/>
      <w:r w:rsidRPr="00F75A3B">
        <w:rPr>
          <w:rFonts w:eastAsia="Times New Roman"/>
          <w:b w:val="0"/>
          <w:bCs/>
          <w:color w:val="000000" w:themeColor="text1"/>
          <w:sz w:val="44"/>
          <w:szCs w:val="44"/>
          <w:lang w:val="en-GB" w:eastAsia="cs-CZ"/>
        </w:rPr>
        <w:t>EXTRACT from the Technical Standard</w:t>
      </w:r>
    </w:p>
    <w:p w14:paraId="7CCE3EDE" w14:textId="77777777" w:rsidR="006323C0" w:rsidRPr="00505ECC" w:rsidRDefault="006323C0" w:rsidP="006323C0">
      <w:pPr>
        <w:spacing w:before="120" w:after="120"/>
        <w:jc w:val="center"/>
        <w:rPr>
          <w:b/>
          <w:i/>
          <w:color w:val="003366"/>
          <w:sz w:val="19"/>
          <w:szCs w:val="19"/>
          <w:lang w:val="en-GB"/>
        </w:rPr>
      </w:pPr>
      <w:r w:rsidRPr="00505ECC">
        <w:rPr>
          <w:b/>
          <w:i/>
          <w:color w:val="003366"/>
          <w:sz w:val="19"/>
          <w:szCs w:val="19"/>
          <w:lang w:val="en-GB"/>
        </w:rPr>
        <w:t>This Extract does not replace the technical standard itself; it is only informative material about the standard.</w:t>
      </w:r>
    </w:p>
    <w:tbl>
      <w:tblPr>
        <w:tblStyle w:val="a6"/>
        <w:tblW w:w="9915" w:type="dxa"/>
        <w:tblInd w:w="-108" w:type="dxa"/>
        <w:tblBorders>
          <w:top w:val="single" w:sz="12" w:space="0" w:color="003366"/>
          <w:bottom w:val="single" w:sz="12" w:space="0" w:color="003366"/>
        </w:tblBorders>
        <w:tblLayout w:type="fixed"/>
        <w:tblLook w:val="0000" w:firstRow="0" w:lastRow="0" w:firstColumn="0" w:lastColumn="0" w:noHBand="0" w:noVBand="0"/>
      </w:tblPr>
      <w:tblGrid>
        <w:gridCol w:w="7020"/>
        <w:gridCol w:w="2895"/>
      </w:tblGrid>
      <w:tr w:rsidR="00680D7A" w:rsidRPr="006323C0" w14:paraId="4D24FC1B" w14:textId="77777777" w:rsidTr="00F75A3B">
        <w:trPr>
          <w:trHeight w:val="1330"/>
        </w:trPr>
        <w:tc>
          <w:tcPr>
            <w:tcW w:w="7020" w:type="dxa"/>
          </w:tcPr>
          <w:p w14:paraId="4D24FC19" w14:textId="582292B7" w:rsidR="00680D7A" w:rsidRPr="006323C0" w:rsidRDefault="00A05664" w:rsidP="006323C0">
            <w:pPr>
              <w:pStyle w:val="1StrNN-2-4"/>
              <w:spacing w:before="240" w:after="240"/>
              <w:rPr>
                <w:lang w:val="en-GB"/>
              </w:rPr>
            </w:pPr>
            <w:bookmarkStart w:id="1" w:name="_heading=h.gjdgxs" w:colFirst="0" w:colLast="0"/>
            <w:bookmarkEnd w:id="1"/>
            <w:r w:rsidRPr="006323C0">
              <w:rPr>
                <w:lang w:val="en-GB"/>
              </w:rPr>
              <w:t>Intelligent Transport Systems</w:t>
            </w:r>
            <w:r w:rsidR="0047356D" w:rsidRPr="006323C0">
              <w:rPr>
                <w:lang w:val="en-GB"/>
              </w:rPr>
              <w:t xml:space="preserve"> – CALM – </w:t>
            </w:r>
            <w:r w:rsidR="00E01E87" w:rsidRPr="006323C0">
              <w:rPr>
                <w:lang w:val="en-GB"/>
              </w:rPr>
              <w:br/>
            </w:r>
            <w:r w:rsidRPr="006323C0">
              <w:rPr>
                <w:lang w:val="en-GB"/>
              </w:rPr>
              <w:t>Infrared-Based Communication Systems</w:t>
            </w:r>
          </w:p>
        </w:tc>
        <w:tc>
          <w:tcPr>
            <w:tcW w:w="2895" w:type="dxa"/>
          </w:tcPr>
          <w:p w14:paraId="4D24FC1A" w14:textId="0A39980B" w:rsidR="00680D7A" w:rsidRPr="006323C0" w:rsidRDefault="0047356D" w:rsidP="00A8456E">
            <w:pPr>
              <w:pStyle w:val="1StrNN-2-4"/>
              <w:spacing w:before="240" w:after="240"/>
              <w:ind w:left="345"/>
              <w:rPr>
                <w:lang w:val="en-GB"/>
              </w:rPr>
            </w:pPr>
            <w:r w:rsidRPr="006323C0">
              <w:rPr>
                <w:lang w:val="en-GB"/>
              </w:rPr>
              <w:t>ISO 21214</w:t>
            </w:r>
            <w:r w:rsidRPr="006323C0">
              <w:rPr>
                <w:lang w:val="en-GB"/>
              </w:rPr>
              <w:br/>
            </w:r>
          </w:p>
        </w:tc>
      </w:tr>
    </w:tbl>
    <w:p w14:paraId="4D24FC1C" w14:textId="569C7CC2" w:rsidR="00680D7A" w:rsidRPr="00E01E87" w:rsidRDefault="00A05664">
      <w:pPr>
        <w:keepNext/>
        <w:keepLines/>
        <w:tabs>
          <w:tab w:val="right" w:pos="9923"/>
        </w:tabs>
        <w:spacing w:before="240" w:after="360"/>
        <w:jc w:val="right"/>
        <w:rPr>
          <w:sz w:val="22"/>
          <w:szCs w:val="22"/>
          <w:lang w:val="en-GB"/>
        </w:rPr>
      </w:pPr>
      <w:r w:rsidRPr="00E01E87">
        <w:rPr>
          <w:sz w:val="22"/>
          <w:szCs w:val="22"/>
          <w:lang w:val="en-GB"/>
        </w:rPr>
        <w:t>Published in 2015</w:t>
      </w:r>
      <w:r w:rsidR="009279F8">
        <w:rPr>
          <w:sz w:val="22"/>
          <w:szCs w:val="22"/>
          <w:lang w:val="en-GB"/>
        </w:rPr>
        <w:t xml:space="preserve"> (Edition 2)</w:t>
      </w:r>
      <w:r w:rsidRPr="00E01E87">
        <w:rPr>
          <w:sz w:val="22"/>
          <w:szCs w:val="22"/>
          <w:lang w:val="en-GB"/>
        </w:rPr>
        <w:t>, 144 pages</w:t>
      </w:r>
    </w:p>
    <w:p w14:paraId="1C0208E2" w14:textId="77777777" w:rsidR="00304E60" w:rsidRDefault="00304E60" w:rsidP="006323C0">
      <w:pPr>
        <w:pStyle w:val="Heading1"/>
      </w:pPr>
    </w:p>
    <w:p w14:paraId="4D24FC1D" w14:textId="26F83B27" w:rsidR="00680D7A" w:rsidRPr="006323C0" w:rsidRDefault="00A05664" w:rsidP="006323C0">
      <w:pPr>
        <w:pStyle w:val="Heading1"/>
      </w:pPr>
      <w:r w:rsidRPr="006323C0">
        <w:t>Introduction</w:t>
      </w:r>
    </w:p>
    <w:p w14:paraId="4D24FC1E" w14:textId="573E92F0" w:rsidR="00AE1879" w:rsidRPr="006323C0" w:rsidRDefault="00AE1879" w:rsidP="009279F8">
      <w:pPr>
        <w:pBdr>
          <w:top w:val="none" w:sz="4" w:space="0" w:color="000000"/>
          <w:left w:val="none" w:sz="4" w:space="0" w:color="000000"/>
          <w:bottom w:val="none" w:sz="4" w:space="2" w:color="000000"/>
          <w:right w:val="none" w:sz="4" w:space="0" w:color="000000"/>
        </w:pBdr>
        <w:spacing w:after="0" w:line="276" w:lineRule="auto"/>
        <w:jc w:val="both"/>
        <w:rPr>
          <w:rFonts w:eastAsia="Times New Roman" w:cs="Times New Roman"/>
          <w:lang w:val="en-GB" w:eastAsia="cs-CZ"/>
        </w:rPr>
      </w:pPr>
      <w:bookmarkStart w:id="2" w:name="_heading=h.30j0zll" w:colFirst="0" w:colLast="0"/>
      <w:bookmarkStart w:id="3" w:name="_heading=h.uhf97r8598qg" w:colFirst="0" w:colLast="0"/>
      <w:bookmarkStart w:id="4" w:name="_heading=h.vl1eyo35ydz8" w:colFirst="0" w:colLast="0"/>
      <w:bookmarkEnd w:id="2"/>
      <w:bookmarkEnd w:id="3"/>
      <w:bookmarkEnd w:id="4"/>
      <w:r w:rsidRPr="006323C0">
        <w:rPr>
          <w:rFonts w:eastAsia="Times New Roman" w:cs="Times New Roman"/>
          <w:lang w:val="en-GB" w:eastAsia="cs-CZ"/>
        </w:rPr>
        <w:t>The ISO 21214</w:t>
      </w:r>
      <w:r w:rsidR="007F73E6" w:rsidRPr="006323C0">
        <w:rPr>
          <w:rFonts w:eastAsia="Times New Roman" w:cs="Times New Roman"/>
          <w:lang w:val="en-GB" w:eastAsia="cs-CZ"/>
        </w:rPr>
        <w:t xml:space="preserve"> international standard</w:t>
      </w:r>
      <w:r w:rsidRPr="006323C0">
        <w:rPr>
          <w:rFonts w:eastAsia="Times New Roman" w:cs="Times New Roman"/>
          <w:lang w:val="en-GB" w:eastAsia="cs-CZ"/>
        </w:rPr>
        <w:t xml:space="preserve"> (hereinafter referred to as the described document) introduces a set of functional requirements for the communication interface of an ITS station.</w:t>
      </w:r>
      <w:r w:rsidR="007F73E6" w:rsidRPr="006323C0">
        <w:rPr>
          <w:rFonts w:eastAsia="Times New Roman" w:cs="Times New Roman"/>
          <w:lang w:val="en-GB" w:eastAsia="cs-CZ"/>
        </w:rPr>
        <w:t xml:space="preserve"> </w:t>
      </w:r>
    </w:p>
    <w:p w14:paraId="4D24FC1F" w14:textId="77777777" w:rsidR="00AE1879" w:rsidRPr="006323C0" w:rsidRDefault="00AE1879" w:rsidP="009279F8">
      <w:pPr>
        <w:pBdr>
          <w:top w:val="none" w:sz="4" w:space="0" w:color="000000"/>
          <w:left w:val="none" w:sz="4" w:space="0" w:color="000000"/>
          <w:bottom w:val="none" w:sz="4" w:space="2"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The concept of ITS communications (formerly CALM) is a set of requirements aimed at unifying communication systems within ITS. It introduces the concept of an ITS station, which represents the basic building block of this communication architecture. For more information, see the Extract from ISO 21217.</w:t>
      </w:r>
    </w:p>
    <w:p w14:paraId="4D24FC20" w14:textId="5154980C" w:rsidR="00AE1879" w:rsidRDefault="00AE1879" w:rsidP="009279F8">
      <w:pPr>
        <w:pBdr>
          <w:top w:val="none" w:sz="4" w:space="0" w:color="000000"/>
          <w:left w:val="none" w:sz="4" w:space="0" w:color="000000"/>
          <w:bottom w:val="none" w:sz="4" w:space="2"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 xml:space="preserve">A key feature of the ITS station is </w:t>
      </w:r>
      <w:r w:rsidR="002441BA" w:rsidRPr="006323C0">
        <w:rPr>
          <w:rFonts w:eastAsia="Times New Roman" w:cs="Times New Roman"/>
          <w:lang w:val="en-GB" w:eastAsia="cs-CZ"/>
        </w:rPr>
        <w:t xml:space="preserve">its </w:t>
      </w:r>
      <w:r w:rsidRPr="006323C0">
        <w:rPr>
          <w:rFonts w:eastAsia="Times New Roman" w:cs="Times New Roman"/>
          <w:lang w:val="en-GB" w:eastAsia="cs-CZ"/>
        </w:rPr>
        <w:t>ability to use various communication protocols with different access technologies. The described document specifies the method of data exchange</w:t>
      </w:r>
      <w:r w:rsidR="003178C8" w:rsidRPr="006323C0">
        <w:rPr>
          <w:rFonts w:eastAsia="Times New Roman" w:cs="Times New Roman"/>
          <w:lang w:val="en-GB" w:eastAsia="cs-CZ"/>
        </w:rPr>
        <w:t>,</w:t>
      </w:r>
      <w:r w:rsidRPr="006323C0">
        <w:rPr>
          <w:rFonts w:eastAsia="Times New Roman" w:cs="Times New Roman"/>
          <w:lang w:val="en-GB" w:eastAsia="cs-CZ"/>
        </w:rPr>
        <w:t xml:space="preserve"> via an infrared interface operating at wavelengths from 850 nm to 1010 nm</w:t>
      </w:r>
      <w:r w:rsidR="00DC2B4D" w:rsidRPr="006323C0">
        <w:rPr>
          <w:rFonts w:eastAsia="Times New Roman" w:cs="Times New Roman"/>
          <w:lang w:val="en-GB" w:eastAsia="cs-CZ"/>
        </w:rPr>
        <w:t>,</w:t>
      </w:r>
      <w:r w:rsidRPr="006323C0">
        <w:rPr>
          <w:rFonts w:eastAsia="Times New Roman" w:cs="Times New Roman"/>
          <w:lang w:val="en-GB" w:eastAsia="cs-CZ"/>
        </w:rPr>
        <w:t xml:space="preserve"> and expands the interface specification with compatibility with the ITS station according to ISO 21217. For the purposes of the standard, this interface is referred to as IR. This is the second edition of the standard.</w:t>
      </w:r>
    </w:p>
    <w:p w14:paraId="3559DA4E" w14:textId="77777777" w:rsidR="006323C0" w:rsidRPr="006323C0" w:rsidRDefault="006323C0" w:rsidP="009279F8">
      <w:pPr>
        <w:pBdr>
          <w:top w:val="none" w:sz="4" w:space="0" w:color="000000"/>
          <w:left w:val="none" w:sz="4" w:space="0" w:color="000000"/>
          <w:bottom w:val="none" w:sz="4" w:space="2" w:color="000000"/>
          <w:right w:val="none" w:sz="4" w:space="0" w:color="000000"/>
        </w:pBdr>
        <w:spacing w:after="0" w:line="276" w:lineRule="auto"/>
        <w:jc w:val="both"/>
        <w:rPr>
          <w:rFonts w:eastAsia="Times New Roman" w:cs="Times New Roman"/>
          <w:lang w:val="en-GB" w:eastAsia="cs-CZ"/>
        </w:rPr>
      </w:pPr>
    </w:p>
    <w:p w14:paraId="26AF57EA" w14:textId="77777777" w:rsidR="009279F8" w:rsidRPr="00AC1B7B" w:rsidRDefault="009279F8" w:rsidP="009279F8">
      <w:pPr>
        <w:spacing w:line="276" w:lineRule="auto"/>
        <w:rPr>
          <w:i/>
          <w:color w:val="003366"/>
        </w:rPr>
      </w:pPr>
      <w:proofErr w:type="spellStart"/>
      <w:r w:rsidRPr="00AC1B7B">
        <w:rPr>
          <w:i/>
          <w:color w:val="003366"/>
        </w:rPr>
        <w:t>Note</w:t>
      </w:r>
      <w:proofErr w:type="spellEnd"/>
      <w:r w:rsidRPr="00AC1B7B">
        <w:rPr>
          <w:i/>
          <w:color w:val="003366"/>
        </w:rPr>
        <w:t xml:space="preserve">: </w:t>
      </w:r>
      <w:proofErr w:type="spellStart"/>
      <w:r w:rsidRPr="00AC1B7B">
        <w:rPr>
          <w:i/>
          <w:color w:val="003366"/>
        </w:rPr>
        <w:t>This</w:t>
      </w:r>
      <w:proofErr w:type="spellEnd"/>
      <w:r w:rsidRPr="00AC1B7B">
        <w:rPr>
          <w:i/>
          <w:color w:val="003366"/>
        </w:rPr>
        <w:t xml:space="preserve"> </w:t>
      </w:r>
      <w:proofErr w:type="spellStart"/>
      <w:r w:rsidRPr="00AC1B7B">
        <w:rPr>
          <w:i/>
          <w:color w:val="003366"/>
        </w:rPr>
        <w:t>Extract</w:t>
      </w:r>
      <w:proofErr w:type="spellEnd"/>
      <w:r w:rsidRPr="00AC1B7B">
        <w:rPr>
          <w:i/>
          <w:color w:val="003366"/>
        </w:rPr>
        <w:t xml:space="preserve"> </w:t>
      </w:r>
      <w:proofErr w:type="spellStart"/>
      <w:r w:rsidRPr="00AC1B7B">
        <w:rPr>
          <w:i/>
          <w:color w:val="003366"/>
        </w:rPr>
        <w:t>presents</w:t>
      </w:r>
      <w:proofErr w:type="spellEnd"/>
      <w:r w:rsidRPr="00AC1B7B">
        <w:rPr>
          <w:i/>
          <w:color w:val="003366"/>
        </w:rPr>
        <w:t xml:space="preserve"> </w:t>
      </w:r>
      <w:proofErr w:type="spellStart"/>
      <w:r w:rsidRPr="00AC1B7B">
        <w:rPr>
          <w:i/>
          <w:color w:val="003366"/>
        </w:rPr>
        <w:t>selected</w:t>
      </w:r>
      <w:proofErr w:type="spellEnd"/>
      <w:r w:rsidRPr="00AC1B7B">
        <w:rPr>
          <w:i/>
          <w:color w:val="003366"/>
        </w:rPr>
        <w:t xml:space="preserve"> </w:t>
      </w:r>
      <w:proofErr w:type="spellStart"/>
      <w:r w:rsidRPr="00AC1B7B">
        <w:rPr>
          <w:i/>
          <w:color w:val="003366"/>
        </w:rPr>
        <w:t>chapters</w:t>
      </w:r>
      <w:proofErr w:type="spellEnd"/>
      <w:r w:rsidRPr="00AC1B7B">
        <w:rPr>
          <w:i/>
          <w:color w:val="003366"/>
        </w:rPr>
        <w:t xml:space="preserve"> </w:t>
      </w:r>
      <w:proofErr w:type="spellStart"/>
      <w:r w:rsidRPr="00AC1B7B">
        <w:rPr>
          <w:i/>
          <w:color w:val="003366"/>
        </w:rPr>
        <w:t>of</w:t>
      </w:r>
      <w:proofErr w:type="spellEnd"/>
      <w:r w:rsidRPr="00AC1B7B">
        <w:rPr>
          <w:i/>
          <w:color w:val="003366"/>
        </w:rPr>
        <w:t xml:space="preserve"> </w:t>
      </w:r>
      <w:proofErr w:type="spellStart"/>
      <w:r w:rsidRPr="00AC1B7B">
        <w:rPr>
          <w:i/>
          <w:color w:val="003366"/>
        </w:rPr>
        <w:t>the</w:t>
      </w:r>
      <w:proofErr w:type="spellEnd"/>
      <w:r w:rsidRPr="00AC1B7B">
        <w:rPr>
          <w:i/>
          <w:color w:val="003366"/>
        </w:rPr>
        <w:t xml:space="preserve"> </w:t>
      </w:r>
      <w:proofErr w:type="spellStart"/>
      <w:r w:rsidRPr="00AC1B7B">
        <w:rPr>
          <w:i/>
          <w:color w:val="003366"/>
        </w:rPr>
        <w:t>described</w:t>
      </w:r>
      <w:proofErr w:type="spellEnd"/>
      <w:r w:rsidRPr="00AC1B7B">
        <w:rPr>
          <w:i/>
          <w:color w:val="003366"/>
        </w:rPr>
        <w:t xml:space="preserve"> </w:t>
      </w:r>
      <w:proofErr w:type="spellStart"/>
      <w:r w:rsidRPr="00AC1B7B">
        <w:rPr>
          <w:i/>
          <w:color w:val="003366"/>
        </w:rPr>
        <w:t>document</w:t>
      </w:r>
      <w:proofErr w:type="spellEnd"/>
      <w:r w:rsidRPr="00AC1B7B">
        <w:rPr>
          <w:i/>
          <w:color w:val="003366"/>
        </w:rPr>
        <w:t xml:space="preserve"> and </w:t>
      </w:r>
      <w:proofErr w:type="spellStart"/>
      <w:r w:rsidRPr="00AC1B7B">
        <w:rPr>
          <w:i/>
          <w:color w:val="003366"/>
        </w:rPr>
        <w:t>retains</w:t>
      </w:r>
      <w:proofErr w:type="spellEnd"/>
      <w:r w:rsidRPr="00AC1B7B">
        <w:rPr>
          <w:i/>
          <w:color w:val="003366"/>
        </w:rPr>
        <w:t xml:space="preserve"> </w:t>
      </w:r>
      <w:proofErr w:type="spellStart"/>
      <w:r w:rsidRPr="00AC1B7B">
        <w:rPr>
          <w:i/>
          <w:color w:val="003366"/>
        </w:rPr>
        <w:t>the</w:t>
      </w:r>
      <w:proofErr w:type="spellEnd"/>
      <w:r w:rsidRPr="00AC1B7B">
        <w:rPr>
          <w:i/>
          <w:color w:val="003366"/>
        </w:rPr>
        <w:t xml:space="preserve"> </w:t>
      </w:r>
      <w:proofErr w:type="spellStart"/>
      <w:r w:rsidRPr="00AC1B7B">
        <w:rPr>
          <w:i/>
          <w:color w:val="003366"/>
        </w:rPr>
        <w:t>original</w:t>
      </w:r>
      <w:proofErr w:type="spellEnd"/>
      <w:r w:rsidRPr="00AC1B7B">
        <w:rPr>
          <w:i/>
          <w:color w:val="003366"/>
        </w:rPr>
        <w:t xml:space="preserve"> </w:t>
      </w:r>
      <w:proofErr w:type="spellStart"/>
      <w:r w:rsidRPr="00AC1B7B">
        <w:rPr>
          <w:i/>
          <w:color w:val="003366"/>
        </w:rPr>
        <w:t>chapter</w:t>
      </w:r>
      <w:proofErr w:type="spellEnd"/>
      <w:r w:rsidRPr="00AC1B7B">
        <w:rPr>
          <w:i/>
          <w:color w:val="003366"/>
        </w:rPr>
        <w:t xml:space="preserve"> </w:t>
      </w:r>
      <w:proofErr w:type="spellStart"/>
      <w:r w:rsidRPr="00AC1B7B">
        <w:rPr>
          <w:i/>
          <w:color w:val="003366"/>
        </w:rPr>
        <w:t>numbering</w:t>
      </w:r>
      <w:proofErr w:type="spellEnd"/>
      <w:r w:rsidRPr="00AC1B7B">
        <w:rPr>
          <w:i/>
          <w:color w:val="003366"/>
        </w:rPr>
        <w:t>.</w:t>
      </w:r>
    </w:p>
    <w:p w14:paraId="4D24FC22" w14:textId="77777777" w:rsidR="00AE1879" w:rsidRPr="006323C0" w:rsidRDefault="00AE1879" w:rsidP="006323C0">
      <w:pPr>
        <w:pStyle w:val="Heading1"/>
      </w:pPr>
      <w:r w:rsidRPr="006323C0">
        <w:t>Usage</w:t>
      </w:r>
    </w:p>
    <w:p w14:paraId="4D24FC23" w14:textId="77777777" w:rsidR="00AE1879" w:rsidRPr="006323C0" w:rsidRDefault="00AE1879"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The document establishes principles for implementing the IR interface into an ITS station within CALM.</w:t>
      </w:r>
    </w:p>
    <w:p w14:paraId="4D24FC24" w14:textId="77777777" w:rsidR="00AE1879" w:rsidRPr="006323C0" w:rsidRDefault="00AE1879"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For public administration authorities, it provides basic technical information to form an idea of the possibilities of using the IR interface in the ITS environment.</w:t>
      </w:r>
    </w:p>
    <w:p w14:paraId="4D24FC25" w14:textId="77777777" w:rsidR="00AE1879" w:rsidRPr="006323C0" w:rsidRDefault="00AE1879"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For manufacturers of telematics devices and their operators, it defines the requirements for communication between ITS stations in the ITS interface environment.</w:t>
      </w:r>
    </w:p>
    <w:p w14:paraId="4D24FC26" w14:textId="3466112E" w:rsidR="00680D7A" w:rsidRPr="006323C0" w:rsidRDefault="00051089" w:rsidP="006323C0">
      <w:pPr>
        <w:pStyle w:val="Heading1"/>
      </w:pPr>
      <w:r w:rsidRPr="006323C0">
        <w:t>Scope</w:t>
      </w:r>
    </w:p>
    <w:p w14:paraId="4D24FC27" w14:textId="0E6900F8" w:rsidR="00AE1879" w:rsidRPr="006323C0" w:rsidRDefault="00AE1879"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The described document specifies requirements for the implementation of the IR communication interface into the access layer of the ITS-S station. The document further specifies requirements for the Communication Adaptation Layer (CAL) and the Management Adaptation Entity (MAE) layer of the ITS station.</w:t>
      </w:r>
    </w:p>
    <w:p w14:paraId="0D25AEB6" w14:textId="77777777" w:rsidR="00DC1907" w:rsidRPr="006323C0" w:rsidRDefault="00DC1907" w:rsidP="006323C0">
      <w:pPr>
        <w:pStyle w:val="Heading1"/>
      </w:pPr>
      <w:r w:rsidRPr="006323C0">
        <w:t>Related Documents (Selection)</w:t>
      </w:r>
    </w:p>
    <w:p w14:paraId="79AC392E" w14:textId="346A71F0" w:rsidR="00DC1907" w:rsidRPr="006323C0" w:rsidRDefault="00DC1907"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 xml:space="preserve">The related standards are primarily those of the ITS communication group (CALM). The </w:t>
      </w:r>
      <w:r w:rsidR="009279F8">
        <w:rPr>
          <w:rFonts w:eastAsia="Times New Roman" w:cs="Times New Roman"/>
          <w:lang w:val="en-GB" w:eastAsia="cs-CZ"/>
        </w:rPr>
        <w:t>clause</w:t>
      </w:r>
      <w:r w:rsidRPr="006323C0">
        <w:rPr>
          <w:rFonts w:eastAsia="Times New Roman" w:cs="Times New Roman"/>
          <w:lang w:val="en-GB" w:eastAsia="cs-CZ"/>
        </w:rPr>
        <w:t xml:space="preserve"> does not specify these standards in detail.</w:t>
      </w:r>
    </w:p>
    <w:p w14:paraId="5F1A9B56" w14:textId="77777777" w:rsidR="00DC1907" w:rsidRPr="006323C0" w:rsidRDefault="00DC1907"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6323C0">
        <w:rPr>
          <w:rFonts w:eastAsia="Times New Roman" w:cs="Times New Roman"/>
          <w:lang w:val="en-GB" w:eastAsia="cs-CZ"/>
        </w:rPr>
        <w:t>In addition to the ITS communication (CALM) standards, it references the following two standards:</w:t>
      </w:r>
    </w:p>
    <w:p w14:paraId="1AC61560" w14:textId="77777777" w:rsidR="00DC1907" w:rsidRPr="006323C0" w:rsidRDefault="00DC1907"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i/>
          <w:lang w:val="en-GB" w:eastAsia="cs-CZ"/>
        </w:rPr>
      </w:pPr>
      <w:r w:rsidRPr="006323C0">
        <w:rPr>
          <w:rFonts w:eastAsia="Times New Roman" w:cs="Times New Roman"/>
          <w:i/>
          <w:lang w:val="en-GB" w:eastAsia="cs-CZ"/>
        </w:rPr>
        <w:t>ISO/IEC 8802-11:1999, Information technology — Telecommunications and information exchange between systems — Local and metropolitan area networks — Specific requirements — Part 11: Wireless LAN Medium Access Control (MAC) and Physical Layer (PHY) specifications</w:t>
      </w:r>
    </w:p>
    <w:p w14:paraId="3C2EC344" w14:textId="77777777" w:rsidR="00DC1907" w:rsidRPr="006323C0" w:rsidRDefault="00DC1907"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i/>
          <w:lang w:val="en-GB" w:eastAsia="cs-CZ"/>
        </w:rPr>
      </w:pPr>
      <w:r w:rsidRPr="006323C0">
        <w:rPr>
          <w:rFonts w:eastAsia="Times New Roman" w:cs="Times New Roman"/>
          <w:i/>
          <w:lang w:val="en-GB" w:eastAsia="cs-CZ"/>
        </w:rPr>
        <w:t>IEC 60825-1, Safety of laser products – Part 1: Equipment classification, requirements and user’s guide</w:t>
      </w:r>
    </w:p>
    <w:p w14:paraId="4D24FC28" w14:textId="7306677C" w:rsidR="00680D7A" w:rsidRPr="006323C0" w:rsidRDefault="00131A5A" w:rsidP="006323C0">
      <w:pPr>
        <w:pStyle w:val="Heading1"/>
      </w:pPr>
      <w:r>
        <w:t>2</w:t>
      </w:r>
      <w:r w:rsidR="006323C0" w:rsidRPr="000B09F3">
        <w:t> </w:t>
      </w:r>
      <w:r w:rsidR="0089721E" w:rsidRPr="006323C0">
        <w:t>Conformance</w:t>
      </w:r>
    </w:p>
    <w:p w14:paraId="4D24FC29" w14:textId="42D5F1FF" w:rsidR="0089721E" w:rsidRPr="00BA0B5A" w:rsidRDefault="0089721E">
      <w:pPr>
        <w:rPr>
          <w:lang w:val="en-GB"/>
        </w:rPr>
      </w:pPr>
      <w:r w:rsidRPr="00BA0B5A">
        <w:rPr>
          <w:lang w:val="en-GB"/>
        </w:rPr>
        <w:t xml:space="preserve">This </w:t>
      </w:r>
      <w:r w:rsidR="009279F8">
        <w:rPr>
          <w:lang w:val="en-GB"/>
        </w:rPr>
        <w:t>clause</w:t>
      </w:r>
      <w:r w:rsidRPr="00BA0B5A">
        <w:rPr>
          <w:lang w:val="en-GB"/>
        </w:rPr>
        <w:t xml:space="preserve"> contains a short paragraph with a single-line declaration stating that the standard conforms to the requirements of related international standards.</w:t>
      </w:r>
    </w:p>
    <w:p w14:paraId="4D24FC2F" w14:textId="3C8EB6FF" w:rsidR="00680D7A" w:rsidRPr="00444C8B" w:rsidRDefault="00131A5A" w:rsidP="006323C0">
      <w:pPr>
        <w:pStyle w:val="Heading1"/>
      </w:pPr>
      <w:r>
        <w:lastRenderedPageBreak/>
        <w:t>4</w:t>
      </w:r>
      <w:r w:rsidRPr="000B09F3">
        <w:t> </w:t>
      </w:r>
      <w:r w:rsidR="0089721E" w:rsidRPr="00444C8B">
        <w:t>Terms and Definitions</w:t>
      </w:r>
    </w:p>
    <w:p w14:paraId="4D24FC30" w14:textId="4EB6467B" w:rsidR="0089721E" w:rsidRPr="0008295D" w:rsidRDefault="0089721E" w:rsidP="0008295D">
      <w:pPr>
        <w:rPr>
          <w:lang w:val="en-GB"/>
        </w:rPr>
      </w:pPr>
      <w:r w:rsidRPr="0008295D">
        <w:rPr>
          <w:lang w:val="en-GB"/>
        </w:rPr>
        <w:t>The standard introduces 36 new terms</w:t>
      </w:r>
      <w:r w:rsidR="00C201D6" w:rsidRPr="0008295D">
        <w:rPr>
          <w:lang w:val="en-GB"/>
        </w:rPr>
        <w:t>.</w:t>
      </w:r>
      <w:r w:rsidRPr="0008295D">
        <w:rPr>
          <w:lang w:val="en-GB"/>
        </w:rPr>
        <w:t xml:space="preserve"> </w:t>
      </w:r>
      <w:r w:rsidR="00C201D6" w:rsidRPr="0008295D">
        <w:rPr>
          <w:lang w:val="en-GB"/>
        </w:rPr>
        <w:t>O</w:t>
      </w:r>
      <w:r w:rsidRPr="0008295D">
        <w:rPr>
          <w:lang w:val="en-GB"/>
        </w:rPr>
        <w:t>ther terms and abbreviations are provided in ISO 21217 and other CALM standards. In a separate paragraph, the standard introduces terms for the optical characteristics of the interface. Examples of terms and definitions:</w:t>
      </w:r>
    </w:p>
    <w:p w14:paraId="4D24FC31" w14:textId="6CA02893" w:rsidR="0089721E" w:rsidRPr="0008295D" w:rsidRDefault="00254F2F" w:rsidP="0008295D">
      <w:pPr>
        <w:rPr>
          <w:lang w:val="en-GB"/>
        </w:rPr>
      </w:pPr>
      <w:r w:rsidRPr="0008295D">
        <w:rPr>
          <w:b/>
          <w:lang w:val="en-GB"/>
        </w:rPr>
        <w:t>communication z</w:t>
      </w:r>
      <w:r w:rsidR="0089721E" w:rsidRPr="0008295D">
        <w:rPr>
          <w:b/>
          <w:lang w:val="en-GB"/>
        </w:rPr>
        <w:t>one</w:t>
      </w:r>
      <w:r w:rsidR="0089721E" w:rsidRPr="0008295D">
        <w:rPr>
          <w:lang w:val="en-GB"/>
        </w:rPr>
        <w:t xml:space="preserve"> – </w:t>
      </w:r>
      <w:r w:rsidRPr="0008295D">
        <w:rPr>
          <w:lang w:val="en-GB"/>
        </w:rPr>
        <w:t xml:space="preserve">spatial zone in which two CALM-IR units </w:t>
      </w:r>
      <w:proofErr w:type="gramStart"/>
      <w:r w:rsidRPr="0008295D">
        <w:rPr>
          <w:lang w:val="en-GB"/>
        </w:rPr>
        <w:t>are able to</w:t>
      </w:r>
      <w:proofErr w:type="gramEnd"/>
      <w:r w:rsidRPr="0008295D">
        <w:rPr>
          <w:lang w:val="en-GB"/>
        </w:rPr>
        <w:t xml:space="preserve"> communicate with acceptable performance</w:t>
      </w:r>
    </w:p>
    <w:p w14:paraId="4D24FC32" w14:textId="5DB4DC97" w:rsidR="0089721E" w:rsidRPr="0008295D" w:rsidRDefault="00254F2F" w:rsidP="0008295D">
      <w:pPr>
        <w:rPr>
          <w:lang w:val="en-GB"/>
        </w:rPr>
      </w:pPr>
      <w:r w:rsidRPr="0008295D">
        <w:rPr>
          <w:b/>
          <w:lang w:val="en-GB"/>
        </w:rPr>
        <w:t>registration p</w:t>
      </w:r>
      <w:r w:rsidR="0089721E" w:rsidRPr="0008295D">
        <w:rPr>
          <w:b/>
          <w:lang w:val="en-GB"/>
        </w:rPr>
        <w:t>hase</w:t>
      </w:r>
      <w:r w:rsidR="0089721E" w:rsidRPr="0008295D">
        <w:rPr>
          <w:lang w:val="en-GB"/>
        </w:rPr>
        <w:t xml:space="preserve"> – </w:t>
      </w:r>
      <w:r w:rsidRPr="0008295D">
        <w:rPr>
          <w:lang w:val="en-GB"/>
        </w:rPr>
        <w:t>phase where a master identifies devices newly entering his communication zone</w:t>
      </w:r>
    </w:p>
    <w:p w14:paraId="4D24FC33" w14:textId="01220EFC" w:rsidR="0089721E" w:rsidRPr="0008295D" w:rsidRDefault="00254F2F" w:rsidP="0008295D">
      <w:pPr>
        <w:rPr>
          <w:lang w:val="en-GB"/>
        </w:rPr>
      </w:pPr>
      <w:r w:rsidRPr="0008295D">
        <w:rPr>
          <w:b/>
          <w:lang w:val="en-GB"/>
        </w:rPr>
        <w:t>w</w:t>
      </w:r>
      <w:r w:rsidR="0089721E" w:rsidRPr="0008295D">
        <w:rPr>
          <w:b/>
          <w:lang w:val="en-GB"/>
        </w:rPr>
        <w:t xml:space="preserve">ake-up </w:t>
      </w:r>
      <w:r w:rsidRPr="0008295D">
        <w:rPr>
          <w:b/>
          <w:lang w:val="en-GB"/>
        </w:rPr>
        <w:t>w</w:t>
      </w:r>
      <w:r w:rsidR="0089721E" w:rsidRPr="0008295D">
        <w:rPr>
          <w:b/>
          <w:lang w:val="en-GB"/>
        </w:rPr>
        <w:t xml:space="preserve">indow; </w:t>
      </w:r>
      <w:proofErr w:type="spellStart"/>
      <w:r w:rsidR="0089721E" w:rsidRPr="0008295D">
        <w:rPr>
          <w:b/>
          <w:lang w:val="en-GB"/>
        </w:rPr>
        <w:t>WuW</w:t>
      </w:r>
      <w:proofErr w:type="spellEnd"/>
      <w:r w:rsidR="0089721E" w:rsidRPr="0008295D">
        <w:rPr>
          <w:lang w:val="en-GB"/>
        </w:rPr>
        <w:t xml:space="preserve"> – </w:t>
      </w:r>
      <w:r w:rsidRPr="0008295D">
        <w:rPr>
          <w:lang w:val="en-GB"/>
        </w:rPr>
        <w:t>special case of a broadcast window and is used to “wake-up” sleeping units entering the communication zone of an active master</w:t>
      </w:r>
    </w:p>
    <w:p w14:paraId="4D24FC34" w14:textId="240E941A" w:rsidR="00680D7A" w:rsidRPr="00444C8B" w:rsidRDefault="00131A5A" w:rsidP="006323C0">
      <w:pPr>
        <w:pStyle w:val="Heading1"/>
      </w:pPr>
      <w:r>
        <w:t>5</w:t>
      </w:r>
      <w:r w:rsidR="006323C0" w:rsidRPr="000B09F3">
        <w:t> </w:t>
      </w:r>
      <w:r>
        <w:t>Symbols and abbreviated terms</w:t>
      </w:r>
    </w:p>
    <w:p w14:paraId="4D24FC35" w14:textId="77777777" w:rsidR="00680D7A" w:rsidRPr="00BA0B5A" w:rsidRDefault="0089721E">
      <w:pPr>
        <w:tabs>
          <w:tab w:val="left" w:pos="1134"/>
        </w:tabs>
        <w:spacing w:after="120"/>
        <w:jc w:val="both"/>
        <w:rPr>
          <w:lang w:val="en-GB"/>
        </w:rPr>
      </w:pPr>
      <w:r w:rsidRPr="00BA0B5A">
        <w:rPr>
          <w:lang w:val="en-GB"/>
        </w:rPr>
        <w:t>The standard contains 82 abbreviations. Example abbreviations:</w:t>
      </w:r>
    </w:p>
    <w:p w14:paraId="4D24FC36" w14:textId="462C25AF" w:rsidR="00680D7A" w:rsidRPr="00BA0B5A" w:rsidRDefault="0047356D" w:rsidP="00AA6221">
      <w:pPr>
        <w:tabs>
          <w:tab w:val="left" w:pos="-2694"/>
        </w:tabs>
        <w:ind w:left="851" w:hanging="851"/>
        <w:jc w:val="both"/>
        <w:rPr>
          <w:i/>
          <w:lang w:val="en-GB"/>
        </w:rPr>
      </w:pPr>
      <w:r w:rsidRPr="00BA0B5A">
        <w:rPr>
          <w:b/>
          <w:lang w:val="en-GB"/>
        </w:rPr>
        <w:t>CIR</w:t>
      </w:r>
      <w:bookmarkStart w:id="5" w:name="OLE_LINK3"/>
      <w:r w:rsidR="00312946" w:rsidRPr="00E938DF">
        <w:t xml:space="preserve"> – </w:t>
      </w:r>
      <w:bookmarkEnd w:id="5"/>
      <w:r w:rsidR="00930DE9" w:rsidRPr="00254F2F">
        <w:rPr>
          <w:lang w:val="en-GB"/>
        </w:rPr>
        <w:t>circular QAM</w:t>
      </w:r>
      <w:r w:rsidR="00930DE9" w:rsidRPr="00BA0B5A">
        <w:rPr>
          <w:b/>
          <w:i/>
          <w:lang w:val="en-GB"/>
        </w:rPr>
        <w:t xml:space="preserve"> </w:t>
      </w:r>
      <w:r w:rsidRPr="00BA0B5A">
        <w:rPr>
          <w:i/>
          <w:lang w:val="en-GB"/>
        </w:rPr>
        <w:t>(</w:t>
      </w:r>
      <w:r w:rsidR="00930DE9" w:rsidRPr="00BA0B5A">
        <w:rPr>
          <w:i/>
          <w:lang w:val="en-GB"/>
        </w:rPr>
        <w:t xml:space="preserve">a type of quadrature amplitude </w:t>
      </w:r>
      <w:proofErr w:type="spellStart"/>
      <w:r w:rsidR="00930DE9" w:rsidRPr="00BA0B5A">
        <w:rPr>
          <w:i/>
          <w:lang w:val="en-GB"/>
        </w:rPr>
        <w:t>modulation</w:t>
      </w:r>
      <w:r w:rsidRPr="00BA0B5A">
        <w:rPr>
          <w:i/>
          <w:lang w:val="en-GB"/>
        </w:rPr>
        <w:t>circular</w:t>
      </w:r>
      <w:proofErr w:type="spellEnd"/>
      <w:r w:rsidRPr="00BA0B5A">
        <w:rPr>
          <w:i/>
          <w:lang w:val="en-GB"/>
        </w:rPr>
        <w:t xml:space="preserve"> QAM)</w:t>
      </w:r>
    </w:p>
    <w:p w14:paraId="4D24FC37" w14:textId="7D0744F5" w:rsidR="00680D7A" w:rsidRPr="00BA0B5A" w:rsidRDefault="0047356D" w:rsidP="00AA6221">
      <w:pPr>
        <w:tabs>
          <w:tab w:val="left" w:pos="-2694"/>
        </w:tabs>
        <w:ind w:left="851" w:hanging="851"/>
        <w:jc w:val="both"/>
        <w:rPr>
          <w:i/>
          <w:lang w:val="en-GB"/>
        </w:rPr>
      </w:pPr>
      <w:r w:rsidRPr="00BA0B5A">
        <w:rPr>
          <w:b/>
          <w:lang w:val="en-GB"/>
        </w:rPr>
        <w:t>HHH</w:t>
      </w:r>
      <w:r w:rsidR="00312946" w:rsidRPr="00E938DF">
        <w:t xml:space="preserve"> – </w:t>
      </w:r>
      <w:r w:rsidR="00254F2F" w:rsidRPr="00254F2F">
        <w:rPr>
          <w:lang w:val="en-GB"/>
        </w:rPr>
        <w:t xml:space="preserve">Hirt, Hassner, Heise (inventors of the </w:t>
      </w:r>
      <w:proofErr w:type="gramStart"/>
      <w:r w:rsidR="00254F2F" w:rsidRPr="00254F2F">
        <w:rPr>
          <w:lang w:val="en-GB"/>
        </w:rPr>
        <w:t>HHH(</w:t>
      </w:r>
      <w:proofErr w:type="gramEnd"/>
      <w:r w:rsidR="00254F2F" w:rsidRPr="00254F2F">
        <w:rPr>
          <w:lang w:val="en-GB"/>
        </w:rPr>
        <w:t>1,13) code)</w:t>
      </w:r>
      <w:r w:rsidR="00254F2F" w:rsidRPr="00254F2F">
        <w:rPr>
          <w:b/>
          <w:lang w:val="en-GB"/>
        </w:rPr>
        <w:t xml:space="preserve"> </w:t>
      </w:r>
      <w:r w:rsidR="00531982" w:rsidRPr="00BA0B5A">
        <w:rPr>
          <w:i/>
          <w:lang w:val="en-GB"/>
        </w:rPr>
        <w:t>(packet coding and modulation developed specifically for IR communication</w:t>
      </w:r>
      <w:r w:rsidRPr="00BA0B5A">
        <w:rPr>
          <w:i/>
          <w:lang w:val="en-GB"/>
        </w:rPr>
        <w:t>)</w:t>
      </w:r>
    </w:p>
    <w:p w14:paraId="4D24FC38" w14:textId="51E7D36B" w:rsidR="00680D7A" w:rsidRPr="00BA0B5A" w:rsidRDefault="00531982" w:rsidP="00AA6221">
      <w:pPr>
        <w:tabs>
          <w:tab w:val="left" w:pos="-2694"/>
        </w:tabs>
        <w:ind w:left="851" w:hanging="851"/>
        <w:jc w:val="both"/>
        <w:rPr>
          <w:i/>
          <w:lang w:val="en-GB"/>
        </w:rPr>
      </w:pPr>
      <w:r w:rsidRPr="00BA0B5A">
        <w:rPr>
          <w:b/>
          <w:lang w:val="en-GB"/>
        </w:rPr>
        <w:t>IR</w:t>
      </w:r>
      <w:r w:rsidR="00312946" w:rsidRPr="00E938DF">
        <w:t xml:space="preserve"> – </w:t>
      </w:r>
      <w:r w:rsidRPr="00254F2F">
        <w:rPr>
          <w:lang w:val="en-GB"/>
        </w:rPr>
        <w:t>infrared</w:t>
      </w:r>
      <w:r w:rsidRPr="00BA0B5A">
        <w:rPr>
          <w:b/>
          <w:lang w:val="en-GB"/>
        </w:rPr>
        <w:t xml:space="preserve"> </w:t>
      </w:r>
      <w:r w:rsidRPr="00BA0B5A">
        <w:rPr>
          <w:i/>
          <w:lang w:val="en-GB"/>
        </w:rPr>
        <w:t>(infrared-based communication interface</w:t>
      </w:r>
      <w:r w:rsidR="0047356D" w:rsidRPr="00BA0B5A">
        <w:rPr>
          <w:i/>
          <w:lang w:val="en-GB"/>
        </w:rPr>
        <w:t>)</w:t>
      </w:r>
    </w:p>
    <w:p w14:paraId="4D24FC39" w14:textId="493A3801" w:rsidR="00680D7A" w:rsidRPr="00BA0B5A" w:rsidRDefault="0047356D" w:rsidP="00AA6221">
      <w:pPr>
        <w:ind w:left="851" w:hanging="851"/>
        <w:jc w:val="both"/>
        <w:rPr>
          <w:i/>
          <w:lang w:val="en-GB"/>
        </w:rPr>
      </w:pPr>
      <w:proofErr w:type="spellStart"/>
      <w:r w:rsidRPr="00BA0B5A">
        <w:rPr>
          <w:b/>
          <w:lang w:val="en-GB"/>
        </w:rPr>
        <w:t>McW</w:t>
      </w:r>
      <w:proofErr w:type="spellEnd"/>
      <w:r w:rsidR="00312946" w:rsidRPr="00E938DF">
        <w:t xml:space="preserve"> – </w:t>
      </w:r>
      <w:r w:rsidR="00531982" w:rsidRPr="00254F2F">
        <w:rPr>
          <w:lang w:val="en-GB"/>
        </w:rPr>
        <w:t>multicast window</w:t>
      </w:r>
    </w:p>
    <w:p w14:paraId="4D24FC3A" w14:textId="247BADCD" w:rsidR="00680D7A" w:rsidRPr="00BA0B5A" w:rsidRDefault="00531982" w:rsidP="00AA6221">
      <w:pPr>
        <w:ind w:left="851" w:hanging="851"/>
        <w:jc w:val="both"/>
        <w:rPr>
          <w:i/>
          <w:lang w:val="en-GB"/>
        </w:rPr>
      </w:pPr>
      <w:r w:rsidRPr="00BA0B5A">
        <w:rPr>
          <w:b/>
          <w:lang w:val="en-GB"/>
        </w:rPr>
        <w:t>TDMA</w:t>
      </w:r>
      <w:r w:rsidR="00312946" w:rsidRPr="00E938DF">
        <w:t xml:space="preserve"> – </w:t>
      </w:r>
      <w:r w:rsidR="0047356D" w:rsidRPr="00254F2F">
        <w:rPr>
          <w:lang w:val="en-GB"/>
        </w:rPr>
        <w:t>time division multiple access</w:t>
      </w:r>
    </w:p>
    <w:p w14:paraId="4D24FC3B" w14:textId="1349FCFC" w:rsidR="00680D7A" w:rsidRPr="00BA0B5A" w:rsidRDefault="0047356D" w:rsidP="00AA6221">
      <w:pPr>
        <w:ind w:left="851" w:hanging="851"/>
        <w:jc w:val="both"/>
        <w:rPr>
          <w:i/>
          <w:lang w:val="en-GB"/>
        </w:rPr>
      </w:pPr>
      <w:proofErr w:type="spellStart"/>
      <w:r w:rsidRPr="00BA0B5A">
        <w:rPr>
          <w:b/>
          <w:i/>
          <w:lang w:val="en-GB"/>
        </w:rPr>
        <w:t>θH</w:t>
      </w:r>
      <w:proofErr w:type="spellEnd"/>
      <w:r w:rsidR="00312946" w:rsidRPr="00E938DF">
        <w:t xml:space="preserve"> – </w:t>
      </w:r>
      <w:r w:rsidRPr="00254F2F">
        <w:rPr>
          <w:lang w:val="en-GB"/>
        </w:rPr>
        <w:t>horizo</w:t>
      </w:r>
      <w:r w:rsidR="00531982" w:rsidRPr="00254F2F">
        <w:rPr>
          <w:lang w:val="en-GB"/>
        </w:rPr>
        <w:t>ntal opening ang</w:t>
      </w:r>
      <w:r w:rsidRPr="00254F2F">
        <w:rPr>
          <w:lang w:val="en-GB"/>
        </w:rPr>
        <w:t>l</w:t>
      </w:r>
      <w:r w:rsidR="00531982" w:rsidRPr="00254F2F">
        <w:rPr>
          <w:lang w:val="en-GB"/>
        </w:rPr>
        <w:t>e</w:t>
      </w:r>
    </w:p>
    <w:p w14:paraId="4D24FC3C" w14:textId="15121882" w:rsidR="00680D7A" w:rsidRPr="00BA0B5A" w:rsidRDefault="0047356D" w:rsidP="00AA6221">
      <w:pPr>
        <w:ind w:left="851" w:hanging="851"/>
        <w:jc w:val="both"/>
        <w:rPr>
          <w:i/>
          <w:lang w:val="en-GB"/>
        </w:rPr>
      </w:pPr>
      <w:proofErr w:type="spellStart"/>
      <w:r w:rsidRPr="00BA0B5A">
        <w:rPr>
          <w:b/>
          <w:i/>
          <w:lang w:val="en-GB"/>
        </w:rPr>
        <w:t>θV</w:t>
      </w:r>
      <w:proofErr w:type="spellEnd"/>
      <w:r w:rsidR="00312946" w:rsidRPr="00E938DF">
        <w:t xml:space="preserve"> – </w:t>
      </w:r>
      <w:r w:rsidRPr="00254F2F">
        <w:rPr>
          <w:lang w:val="en-GB"/>
        </w:rPr>
        <w:t xml:space="preserve">vertical </w:t>
      </w:r>
      <w:r w:rsidR="00531982" w:rsidRPr="00254F2F">
        <w:rPr>
          <w:lang w:val="en-GB"/>
        </w:rPr>
        <w:t xml:space="preserve">opening </w:t>
      </w:r>
      <w:r w:rsidRPr="00254F2F">
        <w:rPr>
          <w:lang w:val="en-GB"/>
        </w:rPr>
        <w:t>angl</w:t>
      </w:r>
      <w:r w:rsidR="00531982" w:rsidRPr="00254F2F">
        <w:rPr>
          <w:lang w:val="en-GB"/>
        </w:rPr>
        <w:t>e</w:t>
      </w:r>
    </w:p>
    <w:p w14:paraId="49766B19" w14:textId="77777777" w:rsidR="00042AAB" w:rsidRDefault="00042AAB" w:rsidP="00042AAB">
      <w:pPr>
        <w:spacing w:before="114" w:after="234"/>
        <w:jc w:val="both"/>
      </w:pPr>
      <w:r w:rsidRPr="00042AAB">
        <w:rPr>
          <w:i/>
          <w:iCs/>
          <w:color w:val="000000"/>
        </w:rPr>
        <w:t xml:space="preserve">NOTE: </w:t>
      </w:r>
      <w:proofErr w:type="spellStart"/>
      <w:r w:rsidRPr="00042AAB">
        <w:rPr>
          <w:i/>
          <w:iCs/>
          <w:color w:val="000000"/>
        </w:rPr>
        <w:t>Other</w:t>
      </w:r>
      <w:proofErr w:type="spellEnd"/>
      <w:r w:rsidRPr="00042AAB">
        <w:rPr>
          <w:i/>
          <w:iCs/>
          <w:color w:val="000000"/>
        </w:rPr>
        <w:t xml:space="preserve"> </w:t>
      </w:r>
      <w:proofErr w:type="spellStart"/>
      <w:r w:rsidRPr="00042AAB">
        <w:rPr>
          <w:i/>
          <w:iCs/>
          <w:color w:val="000000"/>
        </w:rPr>
        <w:t>terms</w:t>
      </w:r>
      <w:proofErr w:type="spellEnd"/>
      <w:r w:rsidRPr="00042AAB">
        <w:rPr>
          <w:i/>
          <w:iCs/>
          <w:color w:val="000000"/>
        </w:rPr>
        <w:t xml:space="preserve"> and </w:t>
      </w:r>
      <w:proofErr w:type="spellStart"/>
      <w:r w:rsidRPr="00042AAB">
        <w:rPr>
          <w:i/>
          <w:iCs/>
          <w:color w:val="000000"/>
        </w:rPr>
        <w:t>abbreviations</w:t>
      </w:r>
      <w:proofErr w:type="spellEnd"/>
      <w:r w:rsidRPr="00042AAB">
        <w:rPr>
          <w:i/>
          <w:iCs/>
          <w:color w:val="000000"/>
        </w:rPr>
        <w:t xml:space="preserve"> </w:t>
      </w:r>
      <w:proofErr w:type="spellStart"/>
      <w:r w:rsidRPr="00042AAB">
        <w:rPr>
          <w:i/>
          <w:iCs/>
          <w:color w:val="000000"/>
        </w:rPr>
        <w:t>from</w:t>
      </w:r>
      <w:proofErr w:type="spellEnd"/>
      <w:r w:rsidRPr="00042AAB">
        <w:rPr>
          <w:i/>
          <w:iCs/>
          <w:color w:val="000000"/>
        </w:rPr>
        <w:t xml:space="preserve"> </w:t>
      </w:r>
      <w:proofErr w:type="spellStart"/>
      <w:r w:rsidRPr="00042AAB">
        <w:rPr>
          <w:i/>
          <w:iCs/>
          <w:color w:val="000000"/>
        </w:rPr>
        <w:t>the</w:t>
      </w:r>
      <w:proofErr w:type="spellEnd"/>
      <w:r w:rsidRPr="00042AAB">
        <w:rPr>
          <w:i/>
          <w:iCs/>
          <w:color w:val="000000"/>
        </w:rPr>
        <w:t xml:space="preserve"> ITS </w:t>
      </w:r>
      <w:proofErr w:type="spellStart"/>
      <w:r w:rsidRPr="00042AAB">
        <w:rPr>
          <w:i/>
          <w:iCs/>
          <w:color w:val="000000"/>
        </w:rPr>
        <w:t>domain</w:t>
      </w:r>
      <w:proofErr w:type="spellEnd"/>
      <w:r w:rsidRPr="00042AAB">
        <w:rPr>
          <w:i/>
          <w:iCs/>
          <w:color w:val="000000"/>
        </w:rPr>
        <w:t xml:space="preserve"> </w:t>
      </w:r>
      <w:proofErr w:type="spellStart"/>
      <w:r w:rsidRPr="00042AAB">
        <w:rPr>
          <w:i/>
          <w:iCs/>
          <w:color w:val="000000"/>
        </w:rPr>
        <w:t>can</w:t>
      </w:r>
      <w:proofErr w:type="spellEnd"/>
      <w:r w:rsidRPr="00042AAB">
        <w:rPr>
          <w:i/>
          <w:iCs/>
          <w:color w:val="000000"/>
        </w:rPr>
        <w:t xml:space="preserve"> </w:t>
      </w:r>
      <w:proofErr w:type="spellStart"/>
      <w:r w:rsidRPr="00042AAB">
        <w:rPr>
          <w:i/>
          <w:iCs/>
          <w:color w:val="000000"/>
        </w:rPr>
        <w:t>be</w:t>
      </w:r>
      <w:proofErr w:type="spellEnd"/>
      <w:r w:rsidRPr="00042AAB">
        <w:rPr>
          <w:i/>
          <w:iCs/>
          <w:color w:val="000000"/>
        </w:rPr>
        <w:t xml:space="preserve"> </w:t>
      </w:r>
      <w:proofErr w:type="spellStart"/>
      <w:r w:rsidRPr="00042AAB">
        <w:rPr>
          <w:i/>
          <w:iCs/>
          <w:color w:val="000000"/>
        </w:rPr>
        <w:t>found</w:t>
      </w:r>
      <w:proofErr w:type="spellEnd"/>
      <w:r w:rsidRPr="00042AAB">
        <w:rPr>
          <w:i/>
          <w:iCs/>
          <w:color w:val="000000"/>
        </w:rPr>
        <w:t xml:space="preserve"> in </w:t>
      </w:r>
      <w:proofErr w:type="spellStart"/>
      <w:r w:rsidRPr="00042AAB">
        <w:rPr>
          <w:i/>
          <w:iCs/>
          <w:color w:val="000000"/>
        </w:rPr>
        <w:t>the</w:t>
      </w:r>
      <w:proofErr w:type="spellEnd"/>
      <w:r w:rsidRPr="00042AAB">
        <w:rPr>
          <w:i/>
          <w:iCs/>
          <w:color w:val="000000"/>
        </w:rPr>
        <w:t xml:space="preserve"> </w:t>
      </w:r>
      <w:proofErr w:type="spellStart"/>
      <w:r w:rsidRPr="00042AAB">
        <w:rPr>
          <w:i/>
          <w:iCs/>
          <w:color w:val="000000"/>
        </w:rPr>
        <w:t>ITSTerminology</w:t>
      </w:r>
      <w:proofErr w:type="spellEnd"/>
      <w:r w:rsidRPr="00042AAB">
        <w:rPr>
          <w:i/>
          <w:iCs/>
          <w:color w:val="000000"/>
        </w:rPr>
        <w:t xml:space="preserve"> </w:t>
      </w:r>
      <w:proofErr w:type="spellStart"/>
      <w:r w:rsidRPr="00042AAB">
        <w:rPr>
          <w:i/>
          <w:iCs/>
          <w:color w:val="000000"/>
        </w:rPr>
        <w:t>dictionary</w:t>
      </w:r>
      <w:proofErr w:type="spellEnd"/>
      <w:r w:rsidRPr="00042AAB">
        <w:rPr>
          <w:i/>
          <w:iCs/>
          <w:color w:val="000000"/>
        </w:rPr>
        <w:t xml:space="preserve"> (</w:t>
      </w:r>
      <w:hyperlink r:id="rId8">
        <w:r w:rsidRPr="00042AAB">
          <w:rPr>
            <w:rStyle w:val="Internetovodkaz"/>
            <w:i/>
            <w:iCs/>
          </w:rPr>
          <w:t>www.itsterminology.org</w:t>
        </w:r>
      </w:hyperlink>
      <w:r w:rsidRPr="00042AAB">
        <w:rPr>
          <w:rStyle w:val="Internetovodkaz"/>
          <w:i/>
          <w:iCs/>
        </w:rPr>
        <w:t>)</w:t>
      </w:r>
      <w:r w:rsidRPr="00042AAB">
        <w:rPr>
          <w:i/>
          <w:iCs/>
          <w:color w:val="000000"/>
        </w:rPr>
        <w:t xml:space="preserve">, </w:t>
      </w:r>
      <w:proofErr w:type="spellStart"/>
      <w:r w:rsidRPr="00042AAB">
        <w:rPr>
          <w:i/>
          <w:iCs/>
          <w:color w:val="000000"/>
        </w:rPr>
        <w:t>the</w:t>
      </w:r>
      <w:proofErr w:type="spellEnd"/>
      <w:r w:rsidRPr="00042AAB">
        <w:rPr>
          <w:i/>
          <w:iCs/>
          <w:color w:val="000000"/>
        </w:rPr>
        <w:t xml:space="preserve"> </w:t>
      </w:r>
      <w:proofErr w:type="spellStart"/>
      <w:r w:rsidRPr="00042AAB">
        <w:rPr>
          <w:i/>
          <w:iCs/>
          <w:color w:val="000000"/>
        </w:rPr>
        <w:t>StandardLand</w:t>
      </w:r>
      <w:proofErr w:type="spellEnd"/>
      <w:r w:rsidRPr="00042AAB">
        <w:rPr>
          <w:i/>
          <w:iCs/>
          <w:color w:val="000000"/>
        </w:rPr>
        <w:t xml:space="preserve"> </w:t>
      </w:r>
      <w:proofErr w:type="spellStart"/>
      <w:r w:rsidRPr="00042AAB">
        <w:rPr>
          <w:i/>
          <w:iCs/>
          <w:color w:val="000000"/>
        </w:rPr>
        <w:t>website</w:t>
      </w:r>
      <w:proofErr w:type="spellEnd"/>
      <w:r w:rsidRPr="00042AAB">
        <w:rPr>
          <w:i/>
          <w:iCs/>
          <w:color w:val="000000"/>
        </w:rPr>
        <w:t xml:space="preserve"> (</w:t>
      </w:r>
      <w:hyperlink r:id="rId9">
        <w:r w:rsidRPr="00042AAB">
          <w:rPr>
            <w:rStyle w:val="Internetovodkaz"/>
            <w:i/>
            <w:iCs/>
          </w:rPr>
          <w:t>www.standardland.cz</w:t>
        </w:r>
      </w:hyperlink>
      <w:r w:rsidRPr="00042AAB">
        <w:rPr>
          <w:i/>
          <w:iCs/>
          <w:color w:val="000000"/>
        </w:rPr>
        <w:t xml:space="preserve">) </w:t>
      </w:r>
      <w:proofErr w:type="spellStart"/>
      <w:r w:rsidRPr="00042AAB">
        <w:rPr>
          <w:i/>
          <w:iCs/>
          <w:color w:val="000000"/>
        </w:rPr>
        <w:t>or</w:t>
      </w:r>
      <w:proofErr w:type="spellEnd"/>
      <w:r w:rsidRPr="00042AAB">
        <w:rPr>
          <w:i/>
          <w:iCs/>
          <w:color w:val="000000"/>
        </w:rPr>
        <w:t xml:space="preserve"> </w:t>
      </w:r>
      <w:proofErr w:type="spellStart"/>
      <w:r w:rsidRPr="00042AAB">
        <w:rPr>
          <w:i/>
          <w:iCs/>
          <w:color w:val="000000"/>
        </w:rPr>
        <w:t>the</w:t>
      </w:r>
      <w:proofErr w:type="spellEnd"/>
      <w:r w:rsidRPr="00042AAB">
        <w:rPr>
          <w:i/>
          <w:iCs/>
          <w:color w:val="000000"/>
        </w:rPr>
        <w:t xml:space="preserve"> OBP </w:t>
      </w:r>
      <w:proofErr w:type="spellStart"/>
      <w:r w:rsidRPr="00042AAB">
        <w:rPr>
          <w:i/>
          <w:iCs/>
          <w:color w:val="000000"/>
        </w:rPr>
        <w:t>platform</w:t>
      </w:r>
      <w:proofErr w:type="spellEnd"/>
      <w:r w:rsidRPr="00042AAB">
        <w:rPr>
          <w:i/>
          <w:iCs/>
          <w:color w:val="000000"/>
        </w:rPr>
        <w:t xml:space="preserve"> (</w:t>
      </w:r>
      <w:hyperlink r:id="rId10">
        <w:r w:rsidRPr="00042AAB">
          <w:rPr>
            <w:rStyle w:val="Internetovodkaz"/>
            <w:i/>
            <w:iCs/>
          </w:rPr>
          <w:t>www.iso.org/obp</w:t>
        </w:r>
      </w:hyperlink>
      <w:r w:rsidRPr="00042AAB">
        <w:rPr>
          <w:rStyle w:val="Internetovodkaz"/>
          <w:i/>
          <w:iCs/>
          <w:color w:val="000000"/>
        </w:rPr>
        <w:t>).</w:t>
      </w:r>
    </w:p>
    <w:p w14:paraId="4D24FC3E" w14:textId="7AA7E531" w:rsidR="00680D7A" w:rsidRPr="00444C8B" w:rsidRDefault="00131A5A" w:rsidP="006323C0">
      <w:pPr>
        <w:pStyle w:val="Heading1"/>
      </w:pPr>
      <w:r>
        <w:t>6</w:t>
      </w:r>
      <w:r w:rsidR="006323C0" w:rsidRPr="000B09F3">
        <w:t> </w:t>
      </w:r>
      <w:r w:rsidR="00930DE9" w:rsidRPr="00444C8B">
        <w:t>Requirements: Transmitter and Receiver Parameters</w:t>
      </w:r>
    </w:p>
    <w:p w14:paraId="4D24FC3F" w14:textId="4D0A21F5" w:rsidR="00680D7A" w:rsidRPr="00BA0B5A" w:rsidRDefault="00930DE9"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rFonts w:eastAsia="Times New Roman" w:cs="Times New Roman"/>
          <w:lang w:val="en-GB" w:eastAsia="cs-CZ"/>
        </w:rPr>
        <w:t>clause</w:t>
      </w:r>
      <w:r w:rsidRPr="00BA0B5A">
        <w:rPr>
          <w:lang w:val="en-GB"/>
        </w:rPr>
        <w:t>, spanning 3 pages, defines the requirements for the IR receiver and IR transmitter in the form of parameter tables</w:t>
      </w:r>
      <w:r w:rsidR="0047356D" w:rsidRPr="00BA0B5A">
        <w:rPr>
          <w:lang w:val="en-GB"/>
        </w:rPr>
        <w:t>.</w:t>
      </w:r>
    </w:p>
    <w:p w14:paraId="4D24FC40" w14:textId="6E9D209A" w:rsidR="00930DE9" w:rsidRPr="00BA0B5A" w:rsidRDefault="00930DE9"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08295D">
        <w:rPr>
          <w:lang w:val="en-GB"/>
        </w:rPr>
        <w:t xml:space="preserve">Article </w:t>
      </w:r>
      <w:r w:rsidRPr="0008295D">
        <w:rPr>
          <w:b/>
          <w:lang w:val="en-GB"/>
        </w:rPr>
        <w:t xml:space="preserve">6.1 Transmitter wavelengths and bandwidth and </w:t>
      </w:r>
      <w:r w:rsidRPr="0008295D">
        <w:rPr>
          <w:lang w:val="en-GB"/>
        </w:rPr>
        <w:t>Article</w:t>
      </w:r>
      <w:r w:rsidRPr="0008295D">
        <w:rPr>
          <w:b/>
          <w:lang w:val="en-GB"/>
        </w:rPr>
        <w:t xml:space="preserve"> 6.2 – Radiated power</w:t>
      </w:r>
      <w:r w:rsidRPr="0008295D">
        <w:rPr>
          <w:lang w:val="en-GB"/>
        </w:rPr>
        <w:t xml:space="preserve">, both on a single page, define the technical requirements for the transmitter (wavelength, bandwidth, radiated power). </w:t>
      </w:r>
      <w:r w:rsidR="00464E96" w:rsidRPr="0008295D">
        <w:rPr>
          <w:lang w:val="en-GB"/>
        </w:rPr>
        <w:t>For e</w:t>
      </w:r>
      <w:r w:rsidRPr="0008295D">
        <w:rPr>
          <w:lang w:val="en-GB"/>
        </w:rPr>
        <w:t>xample parameters</w:t>
      </w:r>
      <w:r w:rsidR="00464E96" w:rsidRPr="0008295D">
        <w:rPr>
          <w:lang w:val="en-GB"/>
        </w:rPr>
        <w:t>,</w:t>
      </w:r>
      <w:r w:rsidRPr="0008295D">
        <w:rPr>
          <w:lang w:val="en-GB"/>
        </w:rPr>
        <w:t xml:space="preserve"> see Table 1. The </w:t>
      </w:r>
      <w:r w:rsidR="009279F8">
        <w:rPr>
          <w:lang w:val="en-GB"/>
        </w:rPr>
        <w:t>clause</w:t>
      </w:r>
      <w:r w:rsidRPr="0008295D">
        <w:rPr>
          <w:lang w:val="en-GB"/>
        </w:rPr>
        <w:t xml:space="preserve"> also </w:t>
      </w:r>
      <w:r w:rsidRPr="0008295D">
        <w:rPr>
          <w:rFonts w:eastAsia="Times New Roman" w:cs="Times New Roman"/>
          <w:lang w:val="en-GB" w:eastAsia="cs-CZ"/>
        </w:rPr>
        <w:t>defines</w:t>
      </w:r>
      <w:r w:rsidRPr="0008295D">
        <w:rPr>
          <w:lang w:val="en-GB"/>
        </w:rPr>
        <w:t xml:space="preserve"> 11 transmitter classes (based on radiated power).</w:t>
      </w:r>
    </w:p>
    <w:p w14:paraId="4D24FC41" w14:textId="77777777" w:rsidR="00680D7A" w:rsidRPr="00BA0B5A" w:rsidRDefault="00680D7A">
      <w:pPr>
        <w:rPr>
          <w:b/>
          <w:lang w:val="en-GB"/>
        </w:rPr>
      </w:pPr>
    </w:p>
    <w:p w14:paraId="4D24FC42" w14:textId="711069B5" w:rsidR="00680D7A" w:rsidRPr="008666CB" w:rsidRDefault="00930DE9">
      <w:pPr>
        <w:keepNext/>
        <w:pBdr>
          <w:top w:val="nil"/>
          <w:left w:val="nil"/>
          <w:bottom w:val="nil"/>
          <w:right w:val="nil"/>
          <w:between w:val="nil"/>
        </w:pBdr>
        <w:spacing w:after="200"/>
        <w:jc w:val="center"/>
        <w:rPr>
          <w:b/>
          <w:color w:val="auto"/>
          <w:lang w:val="en-GB"/>
        </w:rPr>
      </w:pPr>
      <w:bookmarkStart w:id="6" w:name="_heading=h.17dp8vu" w:colFirst="0" w:colLast="0"/>
      <w:bookmarkEnd w:id="6"/>
      <w:r w:rsidRPr="008666CB">
        <w:rPr>
          <w:b/>
          <w:color w:val="auto"/>
          <w:lang w:val="en-GB"/>
        </w:rPr>
        <w:t>Table 1– IR transmitter parameter specification</w:t>
      </w:r>
      <w:r w:rsidR="008666CB" w:rsidRPr="008666CB">
        <w:rPr>
          <w:b/>
          <w:color w:val="auto"/>
          <w:lang w:val="en-GB"/>
        </w:rPr>
        <w:t xml:space="preserve"> (Tab. 1 of the source standard)</w:t>
      </w:r>
    </w:p>
    <w:tbl>
      <w:tblPr>
        <w:tblStyle w:val="a7"/>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6"/>
        <w:gridCol w:w="4461"/>
      </w:tblGrid>
      <w:tr w:rsidR="00680D7A" w:rsidRPr="00BA0B5A" w14:paraId="4D24FC47" w14:textId="77777777" w:rsidTr="00254F2F">
        <w:tc>
          <w:tcPr>
            <w:tcW w:w="4606" w:type="dxa"/>
          </w:tcPr>
          <w:p w14:paraId="4D24FC43" w14:textId="77777777" w:rsidR="00680D7A" w:rsidRPr="00BA0B5A" w:rsidRDefault="0047356D">
            <w:pPr>
              <w:spacing w:before="60"/>
              <w:rPr>
                <w:b/>
                <w:lang w:val="en-GB"/>
              </w:rPr>
            </w:pPr>
            <w:r w:rsidRPr="00BA0B5A">
              <w:rPr>
                <w:b/>
                <w:lang w:val="en-GB"/>
              </w:rPr>
              <w:t>Paramet</w:t>
            </w:r>
            <w:r w:rsidR="00930DE9" w:rsidRPr="00BA0B5A">
              <w:rPr>
                <w:b/>
                <w:lang w:val="en-GB"/>
              </w:rPr>
              <w:t>e</w:t>
            </w:r>
            <w:r w:rsidRPr="00BA0B5A">
              <w:rPr>
                <w:b/>
                <w:lang w:val="en-GB"/>
              </w:rPr>
              <w:t>r</w:t>
            </w:r>
            <w:r w:rsidRPr="00BA0B5A">
              <w:rPr>
                <w:b/>
                <w:lang w:val="en-GB"/>
              </w:rPr>
              <w:tab/>
              <w:t xml:space="preserve">                                                                  </w:t>
            </w:r>
          </w:p>
        </w:tc>
        <w:tc>
          <w:tcPr>
            <w:tcW w:w="4461" w:type="dxa"/>
          </w:tcPr>
          <w:p w14:paraId="4D24FC44" w14:textId="77777777" w:rsidR="00680D7A" w:rsidRPr="00BA0B5A" w:rsidRDefault="0047356D">
            <w:pPr>
              <w:spacing w:before="60"/>
              <w:rPr>
                <w:lang w:val="en-GB"/>
              </w:rPr>
            </w:pPr>
            <w:r w:rsidRPr="00BA0B5A">
              <w:rPr>
                <w:b/>
                <w:lang w:val="en-GB"/>
              </w:rPr>
              <w:t xml:space="preserve">                         </w:t>
            </w:r>
            <w:r w:rsidR="00930DE9" w:rsidRPr="00BA0B5A">
              <w:rPr>
                <w:b/>
                <w:lang w:val="en-GB"/>
              </w:rPr>
              <w:t>Specification</w:t>
            </w:r>
            <w:r w:rsidRPr="00BA0B5A">
              <w:rPr>
                <w:b/>
                <w:lang w:val="en-GB"/>
              </w:rPr>
              <w:t xml:space="preserve">    </w:t>
            </w:r>
            <w:r w:rsidRPr="00BA0B5A">
              <w:rPr>
                <w:lang w:val="en-GB"/>
              </w:rPr>
              <w:t xml:space="preserve">     </w:t>
            </w:r>
          </w:p>
          <w:p w14:paraId="4D24FC45" w14:textId="77777777" w:rsidR="00680D7A" w:rsidRPr="00BA0B5A" w:rsidRDefault="0047356D">
            <w:pPr>
              <w:spacing w:before="60"/>
              <w:rPr>
                <w:lang w:val="en-GB"/>
              </w:rPr>
            </w:pPr>
            <w:r w:rsidRPr="00BA0B5A">
              <w:rPr>
                <w:lang w:val="en-GB"/>
              </w:rPr>
              <w:t xml:space="preserve">     </w:t>
            </w:r>
            <w:r w:rsidR="00930DE9" w:rsidRPr="00BA0B5A">
              <w:rPr>
                <w:lang w:val="en-GB"/>
              </w:rPr>
              <w:t>Channel</w:t>
            </w:r>
            <w:r w:rsidRPr="00BA0B5A">
              <w:rPr>
                <w:lang w:val="en-GB"/>
              </w:rPr>
              <w:t xml:space="preserve"> 870                  </w:t>
            </w:r>
            <w:r w:rsidR="00930DE9" w:rsidRPr="00BA0B5A">
              <w:rPr>
                <w:lang w:val="en-GB"/>
              </w:rPr>
              <w:t xml:space="preserve">Channel </w:t>
            </w:r>
            <w:r w:rsidRPr="00BA0B5A">
              <w:rPr>
                <w:lang w:val="en-GB"/>
              </w:rPr>
              <w:t>970</w:t>
            </w:r>
          </w:p>
          <w:p w14:paraId="4D24FC46" w14:textId="77777777" w:rsidR="00680D7A" w:rsidRPr="00BA0B5A" w:rsidRDefault="0047356D" w:rsidP="00930DE9">
            <w:pPr>
              <w:spacing w:before="60"/>
              <w:rPr>
                <w:lang w:val="en-GB"/>
              </w:rPr>
            </w:pPr>
            <w:r w:rsidRPr="00BA0B5A">
              <w:rPr>
                <w:lang w:val="en-GB"/>
              </w:rPr>
              <w:t>(</w:t>
            </w:r>
            <w:r w:rsidR="00930DE9" w:rsidRPr="00BA0B5A">
              <w:rPr>
                <w:lang w:val="en-GB"/>
              </w:rPr>
              <w:t>main channel</w:t>
            </w:r>
            <w:r w:rsidRPr="00BA0B5A">
              <w:rPr>
                <w:lang w:val="en-GB"/>
              </w:rPr>
              <w:t>)           (</w:t>
            </w:r>
            <w:r w:rsidR="00930DE9" w:rsidRPr="00BA0B5A">
              <w:rPr>
                <w:lang w:val="en-GB"/>
              </w:rPr>
              <w:t>alternative channel</w:t>
            </w:r>
            <w:r w:rsidRPr="00BA0B5A">
              <w:rPr>
                <w:lang w:val="en-GB"/>
              </w:rPr>
              <w:t>)</w:t>
            </w:r>
          </w:p>
        </w:tc>
      </w:tr>
      <w:tr w:rsidR="00680D7A" w:rsidRPr="00BA0B5A" w14:paraId="4D24FC4A" w14:textId="77777777" w:rsidTr="00254F2F">
        <w:tc>
          <w:tcPr>
            <w:tcW w:w="4606" w:type="dxa"/>
          </w:tcPr>
          <w:p w14:paraId="4D24FC48" w14:textId="77777777" w:rsidR="00680D7A" w:rsidRPr="00BA0B5A" w:rsidRDefault="0047356D" w:rsidP="00930DE9">
            <w:pPr>
              <w:spacing w:before="60"/>
              <w:rPr>
                <w:lang w:val="en-GB"/>
              </w:rPr>
            </w:pPr>
            <w:r w:rsidRPr="00BA0B5A">
              <w:rPr>
                <w:i/>
                <w:lang w:val="en-GB"/>
              </w:rPr>
              <w:t>TX1</w:t>
            </w:r>
            <w:r w:rsidR="00930DE9" w:rsidRPr="00BA0B5A">
              <w:rPr>
                <w:lang w:val="en-GB"/>
              </w:rPr>
              <w:t xml:space="preserve"> Nominal transmitter wavelength</w:t>
            </w:r>
          </w:p>
        </w:tc>
        <w:tc>
          <w:tcPr>
            <w:tcW w:w="4461" w:type="dxa"/>
          </w:tcPr>
          <w:p w14:paraId="4D24FC49" w14:textId="77777777" w:rsidR="00680D7A" w:rsidRPr="00BA0B5A" w:rsidRDefault="0047356D">
            <w:pPr>
              <w:spacing w:before="60"/>
              <w:rPr>
                <w:lang w:val="en-GB"/>
              </w:rPr>
            </w:pPr>
            <w:r w:rsidRPr="00BA0B5A">
              <w:rPr>
                <w:lang w:val="en-GB"/>
              </w:rPr>
              <w:t xml:space="preserve">     870 nm </w:t>
            </w:r>
            <w:r w:rsidRPr="00BA0B5A">
              <w:rPr>
                <w:lang w:val="en-GB"/>
              </w:rPr>
              <w:tab/>
            </w:r>
            <w:r w:rsidRPr="00BA0B5A">
              <w:rPr>
                <w:lang w:val="en-GB"/>
              </w:rPr>
              <w:tab/>
              <w:t xml:space="preserve">    970 nm</w:t>
            </w:r>
          </w:p>
        </w:tc>
      </w:tr>
      <w:tr w:rsidR="00680D7A" w:rsidRPr="00BA0B5A" w14:paraId="4D24FC4D" w14:textId="77777777" w:rsidTr="00254F2F">
        <w:tc>
          <w:tcPr>
            <w:tcW w:w="4606" w:type="dxa"/>
          </w:tcPr>
          <w:p w14:paraId="4D24FC4B" w14:textId="77777777" w:rsidR="00680D7A" w:rsidRPr="00BA0B5A" w:rsidRDefault="0047356D" w:rsidP="00930DE9">
            <w:pPr>
              <w:spacing w:before="60"/>
              <w:rPr>
                <w:lang w:val="en-GB"/>
              </w:rPr>
            </w:pPr>
            <w:r w:rsidRPr="00BA0B5A">
              <w:rPr>
                <w:i/>
                <w:lang w:val="en-GB"/>
              </w:rPr>
              <w:t xml:space="preserve">TX2 </w:t>
            </w:r>
            <w:r w:rsidR="00930DE9" w:rsidRPr="00BA0B5A">
              <w:rPr>
                <w:lang w:val="en-GB"/>
              </w:rPr>
              <w:t>Transmitter pass band</w:t>
            </w:r>
            <w:r w:rsidRPr="00BA0B5A">
              <w:rPr>
                <w:lang w:val="en-GB"/>
              </w:rPr>
              <w:tab/>
            </w:r>
            <w:r w:rsidRPr="00BA0B5A">
              <w:rPr>
                <w:lang w:val="en-GB"/>
              </w:rPr>
              <w:tab/>
            </w:r>
            <w:r w:rsidRPr="00BA0B5A">
              <w:rPr>
                <w:lang w:val="en-GB"/>
              </w:rPr>
              <w:tab/>
            </w:r>
          </w:p>
        </w:tc>
        <w:tc>
          <w:tcPr>
            <w:tcW w:w="4461" w:type="dxa"/>
          </w:tcPr>
          <w:p w14:paraId="4D24FC4C" w14:textId="77777777" w:rsidR="00680D7A" w:rsidRPr="00BA0B5A" w:rsidRDefault="0047356D" w:rsidP="00930DE9">
            <w:pPr>
              <w:spacing w:before="60"/>
              <w:rPr>
                <w:lang w:val="en-GB"/>
              </w:rPr>
            </w:pPr>
            <w:r w:rsidRPr="00BA0B5A">
              <w:rPr>
                <w:lang w:val="en-GB"/>
              </w:rPr>
              <w:t xml:space="preserve"> </w:t>
            </w:r>
            <w:r w:rsidR="00930DE9" w:rsidRPr="00BA0B5A">
              <w:rPr>
                <w:lang w:val="en-GB"/>
              </w:rPr>
              <w:t xml:space="preserve"> 820 nm to 910 nm </w:t>
            </w:r>
            <w:r w:rsidR="00930DE9" w:rsidRPr="00BA0B5A">
              <w:rPr>
                <w:lang w:val="en-GB"/>
              </w:rPr>
              <w:tab/>
              <w:t>920 nm to</w:t>
            </w:r>
            <w:r w:rsidRPr="00BA0B5A">
              <w:rPr>
                <w:lang w:val="en-GB"/>
              </w:rPr>
              <w:t xml:space="preserve"> 1 010 nm</w:t>
            </w:r>
          </w:p>
        </w:tc>
      </w:tr>
      <w:tr w:rsidR="00680D7A" w:rsidRPr="00BA0B5A" w14:paraId="4D24FC50" w14:textId="77777777" w:rsidTr="00254F2F">
        <w:tc>
          <w:tcPr>
            <w:tcW w:w="4606" w:type="dxa"/>
          </w:tcPr>
          <w:p w14:paraId="4D24FC4E" w14:textId="77777777" w:rsidR="00680D7A" w:rsidRPr="00BA0B5A" w:rsidRDefault="0047356D">
            <w:pPr>
              <w:spacing w:before="60"/>
              <w:rPr>
                <w:lang w:val="en-GB"/>
              </w:rPr>
            </w:pPr>
            <w:r w:rsidRPr="00BA0B5A">
              <w:rPr>
                <w:i/>
                <w:lang w:val="en-GB"/>
              </w:rPr>
              <w:t xml:space="preserve">TX3 </w:t>
            </w:r>
            <w:r w:rsidR="00930DE9" w:rsidRPr="00BA0B5A">
              <w:rPr>
                <w:lang w:val="en-GB"/>
              </w:rPr>
              <w:t>Coherence length</w:t>
            </w:r>
            <w:r w:rsidRPr="00BA0B5A">
              <w:rPr>
                <w:lang w:val="en-GB"/>
              </w:rPr>
              <w:t xml:space="preserve"> </w:t>
            </w:r>
            <w:r w:rsidRPr="00BA0B5A">
              <w:rPr>
                <w:lang w:val="en-GB"/>
              </w:rPr>
              <w:tab/>
            </w:r>
            <w:r w:rsidRPr="00BA0B5A">
              <w:rPr>
                <w:lang w:val="en-GB"/>
              </w:rPr>
              <w:tab/>
            </w:r>
          </w:p>
        </w:tc>
        <w:tc>
          <w:tcPr>
            <w:tcW w:w="4461" w:type="dxa"/>
          </w:tcPr>
          <w:p w14:paraId="4D24FC4F" w14:textId="77777777" w:rsidR="00680D7A" w:rsidRPr="00BA0B5A" w:rsidRDefault="0047356D">
            <w:pPr>
              <w:spacing w:before="60"/>
              <w:jc w:val="center"/>
              <w:rPr>
                <w:i/>
                <w:lang w:val="en-GB"/>
              </w:rPr>
            </w:pPr>
            <w:r w:rsidRPr="00BA0B5A">
              <w:rPr>
                <w:lang w:val="en-GB"/>
              </w:rPr>
              <w:t>&lt; 1 mm</w:t>
            </w:r>
          </w:p>
        </w:tc>
      </w:tr>
      <w:tr w:rsidR="00680D7A" w:rsidRPr="00BA0B5A" w14:paraId="4D24FC53" w14:textId="77777777" w:rsidTr="00254F2F">
        <w:tc>
          <w:tcPr>
            <w:tcW w:w="4606" w:type="dxa"/>
          </w:tcPr>
          <w:p w14:paraId="4D24FC51" w14:textId="77777777" w:rsidR="00680D7A" w:rsidRPr="00BA0B5A" w:rsidRDefault="0047356D">
            <w:pPr>
              <w:spacing w:before="60"/>
              <w:rPr>
                <w:lang w:val="en-GB"/>
              </w:rPr>
            </w:pPr>
            <w:r w:rsidRPr="00BA0B5A">
              <w:rPr>
                <w:i/>
                <w:lang w:val="en-GB"/>
              </w:rPr>
              <w:t xml:space="preserve">TX4 </w:t>
            </w:r>
            <w:r w:rsidR="00930DE9" w:rsidRPr="00BA0B5A">
              <w:rPr>
                <w:lang w:val="en-GB"/>
              </w:rPr>
              <w:t>Total radiated power</w:t>
            </w:r>
            <w:r w:rsidRPr="00BA0B5A">
              <w:rPr>
                <w:lang w:val="en-GB"/>
              </w:rPr>
              <w:t xml:space="preserve"> </w:t>
            </w:r>
            <w:r w:rsidRPr="00BA0B5A">
              <w:rPr>
                <w:lang w:val="en-GB"/>
              </w:rPr>
              <w:tab/>
            </w:r>
            <w:r w:rsidRPr="00BA0B5A">
              <w:rPr>
                <w:lang w:val="en-GB"/>
              </w:rPr>
              <w:tab/>
            </w:r>
            <w:r w:rsidRPr="00BA0B5A">
              <w:rPr>
                <w:lang w:val="en-GB"/>
              </w:rPr>
              <w:tab/>
            </w:r>
          </w:p>
        </w:tc>
        <w:tc>
          <w:tcPr>
            <w:tcW w:w="4461" w:type="dxa"/>
          </w:tcPr>
          <w:p w14:paraId="4D24FC52" w14:textId="77777777" w:rsidR="00680D7A" w:rsidRPr="00BA0B5A" w:rsidRDefault="00930DE9" w:rsidP="00930DE9">
            <w:pPr>
              <w:spacing w:before="60"/>
              <w:jc w:val="center"/>
              <w:rPr>
                <w:i/>
                <w:lang w:val="en-GB"/>
              </w:rPr>
            </w:pPr>
            <w:r w:rsidRPr="00BA0B5A">
              <w:rPr>
                <w:lang w:val="en-GB"/>
              </w:rPr>
              <w:t xml:space="preserve">Dependent on transmitter class </w:t>
            </w:r>
            <w:r w:rsidR="0047356D" w:rsidRPr="00BA0B5A">
              <w:rPr>
                <w:lang w:val="en-GB"/>
              </w:rPr>
              <w:t>(</w:t>
            </w:r>
            <w:r w:rsidRPr="00BA0B5A">
              <w:rPr>
                <w:lang w:val="en-GB"/>
              </w:rPr>
              <w:t>see</w:t>
            </w:r>
            <w:r w:rsidR="0047356D" w:rsidRPr="00BA0B5A">
              <w:rPr>
                <w:lang w:val="en-GB"/>
              </w:rPr>
              <w:t xml:space="preserve"> 6.2)</w:t>
            </w:r>
          </w:p>
        </w:tc>
      </w:tr>
      <w:tr w:rsidR="00680D7A" w:rsidRPr="00BA0B5A" w14:paraId="4D24FC56" w14:textId="77777777" w:rsidTr="00254F2F">
        <w:tc>
          <w:tcPr>
            <w:tcW w:w="4606" w:type="dxa"/>
          </w:tcPr>
          <w:p w14:paraId="4D24FC54" w14:textId="77777777" w:rsidR="00680D7A" w:rsidRPr="00BA0B5A" w:rsidRDefault="0047356D" w:rsidP="00930DE9">
            <w:pPr>
              <w:spacing w:before="60"/>
              <w:rPr>
                <w:i/>
                <w:lang w:val="en-GB"/>
              </w:rPr>
            </w:pPr>
            <w:r w:rsidRPr="00BA0B5A">
              <w:rPr>
                <w:i/>
                <w:lang w:val="en-GB"/>
              </w:rPr>
              <w:t>TX5</w:t>
            </w:r>
            <w:r w:rsidRPr="00BA0B5A">
              <w:rPr>
                <w:lang w:val="en-GB"/>
              </w:rPr>
              <w:t xml:space="preserve"> </w:t>
            </w:r>
            <w:r w:rsidR="00930DE9" w:rsidRPr="00BA0B5A">
              <w:rPr>
                <w:lang w:val="en-GB"/>
              </w:rPr>
              <w:t>Minimum receiver in-band</w:t>
            </w:r>
            <w:r w:rsidR="00930DE9" w:rsidRPr="00BA0B5A">
              <w:rPr>
                <w:i/>
                <w:lang w:val="en-GB"/>
              </w:rPr>
              <w:t xml:space="preserve"> </w:t>
            </w:r>
            <w:r w:rsidRPr="00BA0B5A">
              <w:rPr>
                <w:lang w:val="en-GB"/>
              </w:rPr>
              <w:t>(RX2)</w:t>
            </w:r>
            <w:r w:rsidR="00930DE9" w:rsidRPr="00BA0B5A">
              <w:rPr>
                <w:lang w:val="en-GB"/>
              </w:rPr>
              <w:t xml:space="preserve"> radiated power</w:t>
            </w:r>
          </w:p>
        </w:tc>
        <w:tc>
          <w:tcPr>
            <w:tcW w:w="4461" w:type="dxa"/>
          </w:tcPr>
          <w:p w14:paraId="4D24FC55" w14:textId="77777777" w:rsidR="00680D7A" w:rsidRPr="00BA0B5A" w:rsidRDefault="0047356D">
            <w:pPr>
              <w:spacing w:before="60"/>
              <w:rPr>
                <w:lang w:val="en-GB"/>
              </w:rPr>
            </w:pPr>
            <w:r w:rsidRPr="00BA0B5A">
              <w:rPr>
                <w:lang w:val="en-GB"/>
              </w:rPr>
              <w:t xml:space="preserve">80 % of </w:t>
            </w:r>
            <w:r w:rsidRPr="00BA0B5A">
              <w:rPr>
                <w:i/>
                <w:lang w:val="en-GB"/>
              </w:rPr>
              <w:t>TX4</w:t>
            </w:r>
          </w:p>
        </w:tc>
      </w:tr>
      <w:tr w:rsidR="00680D7A" w:rsidRPr="00BA0B5A" w14:paraId="4D24FC59" w14:textId="77777777" w:rsidTr="00254F2F">
        <w:tc>
          <w:tcPr>
            <w:tcW w:w="4606" w:type="dxa"/>
          </w:tcPr>
          <w:p w14:paraId="4D24FC57" w14:textId="77777777" w:rsidR="00680D7A" w:rsidRPr="00BA0B5A" w:rsidRDefault="0047356D" w:rsidP="0047356D">
            <w:pPr>
              <w:spacing w:before="60"/>
              <w:rPr>
                <w:i/>
                <w:lang w:val="en-GB"/>
              </w:rPr>
            </w:pPr>
            <w:r w:rsidRPr="00BA0B5A">
              <w:rPr>
                <w:i/>
                <w:lang w:val="en-GB"/>
              </w:rPr>
              <w:t xml:space="preserve">TX6a </w:t>
            </w:r>
            <w:r w:rsidRPr="00BA0B5A">
              <w:rPr>
                <w:lang w:val="en-GB"/>
              </w:rPr>
              <w:t xml:space="preserve">Radiated power below pass band            </w:t>
            </w:r>
          </w:p>
        </w:tc>
        <w:tc>
          <w:tcPr>
            <w:tcW w:w="4461" w:type="dxa"/>
          </w:tcPr>
          <w:p w14:paraId="4D24FC58" w14:textId="77777777" w:rsidR="00680D7A" w:rsidRPr="00BA0B5A" w:rsidRDefault="0047356D" w:rsidP="0047356D">
            <w:pPr>
              <w:spacing w:before="60"/>
              <w:rPr>
                <w:i/>
                <w:lang w:val="en-GB"/>
              </w:rPr>
            </w:pPr>
            <w:r w:rsidRPr="00BA0B5A">
              <w:rPr>
                <w:lang w:val="en-GB"/>
              </w:rPr>
              <w:t xml:space="preserve">not specified               &lt; 10 % of </w:t>
            </w:r>
            <w:r w:rsidRPr="00BA0B5A">
              <w:rPr>
                <w:i/>
                <w:lang w:val="en-GB"/>
              </w:rPr>
              <w:t>TX4</w:t>
            </w:r>
          </w:p>
        </w:tc>
      </w:tr>
      <w:tr w:rsidR="00680D7A" w:rsidRPr="00BA0B5A" w14:paraId="4D24FC5C" w14:textId="77777777" w:rsidTr="00254F2F">
        <w:tc>
          <w:tcPr>
            <w:tcW w:w="4606" w:type="dxa"/>
          </w:tcPr>
          <w:p w14:paraId="4D24FC5A" w14:textId="77777777" w:rsidR="00680D7A" w:rsidRPr="00BA0B5A" w:rsidRDefault="0047356D" w:rsidP="0047356D">
            <w:pPr>
              <w:spacing w:before="60"/>
              <w:rPr>
                <w:lang w:val="en-GB"/>
              </w:rPr>
            </w:pPr>
            <w:r w:rsidRPr="00BA0B5A">
              <w:rPr>
                <w:i/>
                <w:lang w:val="en-GB"/>
              </w:rPr>
              <w:t xml:space="preserve">TX6b </w:t>
            </w:r>
            <w:r w:rsidRPr="00BA0B5A">
              <w:rPr>
                <w:lang w:val="en-GB"/>
              </w:rPr>
              <w:t xml:space="preserve">Radiated power above pass band             </w:t>
            </w:r>
          </w:p>
        </w:tc>
        <w:tc>
          <w:tcPr>
            <w:tcW w:w="4461" w:type="dxa"/>
          </w:tcPr>
          <w:p w14:paraId="4D24FC5B" w14:textId="77777777" w:rsidR="00680D7A" w:rsidRPr="00BA0B5A" w:rsidRDefault="0047356D" w:rsidP="0047356D">
            <w:pPr>
              <w:spacing w:before="60"/>
              <w:rPr>
                <w:i/>
                <w:lang w:val="en-GB"/>
              </w:rPr>
            </w:pPr>
            <w:r w:rsidRPr="00BA0B5A">
              <w:rPr>
                <w:lang w:val="en-GB"/>
              </w:rPr>
              <w:t xml:space="preserve">&lt; 10 % of </w:t>
            </w:r>
            <w:r w:rsidRPr="00BA0B5A">
              <w:rPr>
                <w:i/>
                <w:lang w:val="en-GB"/>
              </w:rPr>
              <w:t xml:space="preserve">TX4                  </w:t>
            </w:r>
            <w:r w:rsidRPr="00BA0B5A">
              <w:rPr>
                <w:lang w:val="en-GB"/>
              </w:rPr>
              <w:t>not specified</w:t>
            </w:r>
          </w:p>
        </w:tc>
      </w:tr>
    </w:tbl>
    <w:p w14:paraId="4D24FC5D" w14:textId="77777777" w:rsidR="00680D7A" w:rsidRPr="00BA0B5A" w:rsidRDefault="00680D7A">
      <w:pPr>
        <w:rPr>
          <w:lang w:val="en-GB"/>
        </w:rPr>
      </w:pPr>
    </w:p>
    <w:p w14:paraId="4D24FC5F" w14:textId="77777777" w:rsidR="00680D7A" w:rsidRPr="00BA0B5A" w:rsidRDefault="0047356D"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Article </w:t>
      </w:r>
      <w:r w:rsidRPr="00BA0B5A">
        <w:rPr>
          <w:b/>
          <w:lang w:val="en-GB"/>
        </w:rPr>
        <w:t xml:space="preserve">6.3 </w:t>
      </w:r>
      <w:r w:rsidRPr="00BA0B5A">
        <w:rPr>
          <w:b/>
          <w:color w:val="000000"/>
          <w:lang w:val="en-GB"/>
        </w:rPr>
        <w:t xml:space="preserve">Receiver wavelengths and </w:t>
      </w:r>
      <w:r w:rsidR="00BA0B5A">
        <w:rPr>
          <w:b/>
          <w:color w:val="000000"/>
          <w:lang w:val="en-GB"/>
        </w:rPr>
        <w:t>bandwidths</w:t>
      </w:r>
      <w:r w:rsidRPr="00BA0B5A">
        <w:rPr>
          <w:b/>
          <w:lang w:val="en-GB"/>
        </w:rPr>
        <w:t xml:space="preserve"> </w:t>
      </w:r>
      <w:r w:rsidRPr="00BA0B5A">
        <w:rPr>
          <w:lang w:val="en-GB"/>
        </w:rPr>
        <w:t>and Article</w:t>
      </w:r>
      <w:r w:rsidRPr="00BA0B5A">
        <w:rPr>
          <w:b/>
          <w:lang w:val="en-GB"/>
        </w:rPr>
        <w:t xml:space="preserve"> 6.4 – Receiver class</w:t>
      </w:r>
      <w:r w:rsidRPr="00BA0B5A">
        <w:rPr>
          <w:lang w:val="en-GB"/>
        </w:rPr>
        <w:t xml:space="preserve"> span two pages and define, in the </w:t>
      </w:r>
      <w:r w:rsidRPr="0008295D">
        <w:rPr>
          <w:rFonts w:eastAsia="Times New Roman" w:cs="Times New Roman"/>
          <w:lang w:val="en-GB" w:eastAsia="cs-CZ"/>
        </w:rPr>
        <w:t>form</w:t>
      </w:r>
      <w:r w:rsidRPr="00BA0B5A">
        <w:rPr>
          <w:lang w:val="en-GB"/>
        </w:rPr>
        <w:t xml:space="preserve"> of two tables, the technical requirements for the receiver (wavelength, bandwidth).</w:t>
      </w:r>
    </w:p>
    <w:p w14:paraId="4D24FC60" w14:textId="77777777" w:rsidR="0047356D" w:rsidRPr="00BA0B5A" w:rsidRDefault="0047356D">
      <w:pPr>
        <w:rPr>
          <w:lang w:val="en-GB"/>
        </w:rPr>
      </w:pPr>
    </w:p>
    <w:p w14:paraId="4D24FC61" w14:textId="0B8E6E48" w:rsidR="00680D7A" w:rsidRPr="00BA0B5A" w:rsidRDefault="009279F8"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Pr>
          <w:lang w:val="en-GB"/>
        </w:rPr>
        <w:t>Clause</w:t>
      </w:r>
      <w:r w:rsidR="0047356D" w:rsidRPr="00BA0B5A">
        <w:rPr>
          <w:lang w:val="en-GB"/>
        </w:rPr>
        <w:t xml:space="preserve"> 6 also defines 16 receiver classes (based on receiver sensitivity).</w:t>
      </w:r>
    </w:p>
    <w:p w14:paraId="4D24FC62" w14:textId="589B0D13" w:rsidR="00680D7A" w:rsidRPr="00444C8B" w:rsidRDefault="00131A5A" w:rsidP="006323C0">
      <w:pPr>
        <w:pStyle w:val="Heading1"/>
      </w:pPr>
      <w:r>
        <w:lastRenderedPageBreak/>
        <w:t>7</w:t>
      </w:r>
      <w:r w:rsidR="006323C0" w:rsidRPr="000B09F3">
        <w:t> </w:t>
      </w:r>
      <w:r w:rsidR="006D2F64" w:rsidRPr="00444C8B">
        <w:t>Modulation and C</w:t>
      </w:r>
      <w:r w:rsidR="0047356D" w:rsidRPr="00444C8B">
        <w:t>oding</w:t>
      </w:r>
    </w:p>
    <w:p w14:paraId="4D24FC63" w14:textId="39DE8FB1" w:rsidR="00680D7A" w:rsidRDefault="0047356D"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xml:space="preserve">, spanning 3 pages, defines the basic set of requirements for modulation and coding in the IR environment. It provides the basic structure of a data packet at the OSI model physical layer, including pulse durations in </w:t>
      </w:r>
      <w:proofErr w:type="spellStart"/>
      <w:r w:rsidRPr="00BA0B5A">
        <w:rPr>
          <w:lang w:val="en-GB"/>
        </w:rPr>
        <w:t>μs</w:t>
      </w:r>
      <w:proofErr w:type="spellEnd"/>
      <w:r w:rsidRPr="00BA0B5A">
        <w:rPr>
          <w:lang w:val="en-GB"/>
        </w:rPr>
        <w:t>. It also defines interface communication profiles (see Table 2 (Table 9 of the standard) – Communication profiles).</w:t>
      </w:r>
    </w:p>
    <w:p w14:paraId="321C1596" w14:textId="77777777" w:rsidR="0008295D" w:rsidRPr="00BA0B5A" w:rsidRDefault="0008295D" w:rsidP="0008295D">
      <w:pPr>
        <w:pBdr>
          <w:top w:val="none" w:sz="4" w:space="0" w:color="000000"/>
          <w:left w:val="none" w:sz="4" w:space="0" w:color="000000"/>
          <w:bottom w:val="none" w:sz="4" w:space="0" w:color="000000"/>
          <w:right w:val="none" w:sz="4" w:space="0" w:color="000000"/>
        </w:pBdr>
        <w:spacing w:after="0" w:line="276" w:lineRule="auto"/>
        <w:jc w:val="both"/>
        <w:rPr>
          <w:b/>
          <w:sz w:val="24"/>
          <w:szCs w:val="24"/>
          <w:lang w:val="en-GB"/>
        </w:rPr>
      </w:pPr>
    </w:p>
    <w:p w14:paraId="4D24FC64" w14:textId="037E5284" w:rsidR="00680D7A" w:rsidRPr="00BA0B5A" w:rsidRDefault="0047356D">
      <w:pPr>
        <w:keepNext/>
        <w:pBdr>
          <w:top w:val="nil"/>
          <w:left w:val="nil"/>
          <w:bottom w:val="nil"/>
          <w:right w:val="nil"/>
          <w:between w:val="nil"/>
        </w:pBdr>
        <w:spacing w:after="200"/>
        <w:jc w:val="center"/>
        <w:rPr>
          <w:b/>
          <w:color w:val="1F497D"/>
          <w:sz w:val="18"/>
          <w:szCs w:val="18"/>
          <w:lang w:val="en-GB"/>
        </w:rPr>
      </w:pPr>
      <w:bookmarkStart w:id="7" w:name="_heading=h.3rdcrjn" w:colFirst="0" w:colLast="0"/>
      <w:bookmarkEnd w:id="7"/>
      <w:r w:rsidRPr="00BA0B5A">
        <w:rPr>
          <w:b/>
          <w:color w:val="1F497D"/>
          <w:sz w:val="18"/>
          <w:szCs w:val="18"/>
          <w:lang w:val="en-GB"/>
        </w:rPr>
        <w:t xml:space="preserve">Table 2 </w:t>
      </w:r>
      <w:r w:rsidR="008666CB">
        <w:rPr>
          <w:b/>
          <w:color w:val="1F497D"/>
          <w:sz w:val="18"/>
          <w:szCs w:val="18"/>
          <w:lang w:val="en-GB"/>
        </w:rPr>
        <w:t>– E</w:t>
      </w:r>
      <w:r w:rsidRPr="00BA0B5A">
        <w:rPr>
          <w:b/>
          <w:color w:val="1F497D"/>
          <w:sz w:val="18"/>
          <w:szCs w:val="18"/>
          <w:lang w:val="en-GB"/>
        </w:rPr>
        <w:t xml:space="preserve">xcerpt of Table 9 of the </w:t>
      </w:r>
      <w:r w:rsidR="008666CB">
        <w:rPr>
          <w:b/>
          <w:color w:val="1F497D"/>
          <w:sz w:val="18"/>
          <w:szCs w:val="18"/>
          <w:lang w:val="en-GB"/>
        </w:rPr>
        <w:t xml:space="preserve">source standard: </w:t>
      </w:r>
      <w:r w:rsidRPr="00BA0B5A">
        <w:rPr>
          <w:b/>
          <w:color w:val="1F497D"/>
          <w:sz w:val="18"/>
          <w:szCs w:val="18"/>
          <w:lang w:val="en-GB"/>
        </w:rPr>
        <w:t>Communication profiles</w:t>
      </w:r>
    </w:p>
    <w:p w14:paraId="4D24FC65" w14:textId="77777777" w:rsidR="00680D7A" w:rsidRPr="00BA0B5A" w:rsidRDefault="0047356D" w:rsidP="00051089">
      <w:pPr>
        <w:spacing w:after="120"/>
        <w:jc w:val="center"/>
        <w:rPr>
          <w:lang w:val="en-GB"/>
        </w:rPr>
      </w:pPr>
      <w:r w:rsidRPr="00BA0B5A">
        <w:rPr>
          <w:noProof/>
          <w:lang w:val="cs-CZ" w:eastAsia="cs-CZ"/>
        </w:rPr>
        <w:drawing>
          <wp:inline distT="0" distB="0" distL="0" distR="0" wp14:anchorId="4D24FC95" wp14:editId="4D569644">
            <wp:extent cx="5313872" cy="1472625"/>
            <wp:effectExtent l="0" t="0" r="1270" b="0"/>
            <wp:docPr id="1524725779" name="image2.png" descr="Obsah obrázku text, snímek obrazovky, Písmo, číslo&#10;&#10;Popis byl vytvořen automaticky"/>
            <wp:cNvGraphicFramePr/>
            <a:graphic xmlns:a="http://schemas.openxmlformats.org/drawingml/2006/main">
              <a:graphicData uri="http://schemas.openxmlformats.org/drawingml/2006/picture">
                <pic:pic xmlns:pic="http://schemas.openxmlformats.org/drawingml/2006/picture">
                  <pic:nvPicPr>
                    <pic:cNvPr id="0" name="image2.png" descr="Obsah obrázku text, snímek obrazovky, Písmo, číslo&#10;&#10;Popis byl vytvořen automaticky"/>
                    <pic:cNvPicPr preferRelativeResize="0"/>
                  </pic:nvPicPr>
                  <pic:blipFill>
                    <a:blip r:embed="rId11"/>
                    <a:srcRect/>
                    <a:stretch>
                      <a:fillRect/>
                    </a:stretch>
                  </pic:blipFill>
                  <pic:spPr>
                    <a:xfrm>
                      <a:off x="0" y="0"/>
                      <a:ext cx="5357695" cy="1484769"/>
                    </a:xfrm>
                    <a:prstGeom prst="rect">
                      <a:avLst/>
                    </a:prstGeom>
                    <a:ln/>
                  </pic:spPr>
                </pic:pic>
              </a:graphicData>
            </a:graphic>
          </wp:inline>
        </w:drawing>
      </w:r>
    </w:p>
    <w:p w14:paraId="4D24FC66" w14:textId="5ADC6FCB" w:rsidR="00680D7A" w:rsidRPr="00444C8B" w:rsidRDefault="00131A5A" w:rsidP="006323C0">
      <w:pPr>
        <w:pStyle w:val="Heading1"/>
      </w:pPr>
      <w:r>
        <w:t>8</w:t>
      </w:r>
      <w:r w:rsidR="006323C0" w:rsidRPr="000B09F3">
        <w:t> </w:t>
      </w:r>
      <w:r w:rsidR="006D2F64" w:rsidRPr="00444C8B">
        <w:t>Directivity and Communication Z</w:t>
      </w:r>
      <w:r w:rsidR="0047356D" w:rsidRPr="00444C8B">
        <w:t>ones</w:t>
      </w:r>
    </w:p>
    <w:p w14:paraId="4D24FC67" w14:textId="62209EE1" w:rsidR="006D2F64" w:rsidRDefault="006D2F64"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spanning 3 pages, defines the geometrical and spatial requirements for the interaction of IR-based communication interfaces. It first graphically displays the geometric space of IR communication</w:t>
      </w:r>
      <w:r w:rsidR="00457728">
        <w:rPr>
          <w:lang w:val="en-GB"/>
        </w:rPr>
        <w:t>,</w:t>
      </w:r>
      <w:r w:rsidRPr="00BA0B5A">
        <w:rPr>
          <w:lang w:val="en-GB"/>
        </w:rPr>
        <w:t xml:space="preserve"> and then shows the geometric intersection of two IR communication interfaces (see Figure 1). The next part of the </w:t>
      </w:r>
      <w:r w:rsidR="009279F8">
        <w:rPr>
          <w:lang w:val="en-GB"/>
        </w:rPr>
        <w:t>clause</w:t>
      </w:r>
      <w:r w:rsidRPr="00BA0B5A">
        <w:rPr>
          <w:lang w:val="en-GB"/>
        </w:rPr>
        <w:t xml:space="preserve"> defines communication zone shortcuts, which are essentially various geometric configurations of IR communication in space, with specific parameter values assigned according to the spatial arrangement shown in Figure 1.</w:t>
      </w:r>
    </w:p>
    <w:p w14:paraId="60B7DE85" w14:textId="77777777" w:rsidR="0008295D" w:rsidRPr="00BA0B5A" w:rsidRDefault="0008295D"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p>
    <w:p w14:paraId="4D24FC6E" w14:textId="55803FB8" w:rsidR="00680D7A" w:rsidRPr="008666CB" w:rsidRDefault="006D2F64">
      <w:pPr>
        <w:pBdr>
          <w:top w:val="nil"/>
          <w:left w:val="nil"/>
          <w:bottom w:val="nil"/>
          <w:right w:val="nil"/>
          <w:between w:val="nil"/>
        </w:pBdr>
        <w:spacing w:after="200"/>
        <w:jc w:val="center"/>
        <w:rPr>
          <w:b/>
          <w:color w:val="auto"/>
          <w:lang w:val="en-GB"/>
        </w:rPr>
      </w:pPr>
      <w:bookmarkStart w:id="8" w:name="_heading=h.26in1rg" w:colFirst="0" w:colLast="0"/>
      <w:bookmarkEnd w:id="8"/>
      <w:r w:rsidRPr="008666CB">
        <w:rPr>
          <w:b/>
          <w:noProof/>
          <w:color w:val="auto"/>
          <w:lang w:val="cs-CZ" w:eastAsia="cs-CZ"/>
        </w:rPr>
        <w:drawing>
          <wp:anchor distT="0" distB="0" distL="114300" distR="114300" simplePos="0" relativeHeight="251658240" behindDoc="0" locked="0" layoutInCell="1" hidden="0" allowOverlap="1" wp14:anchorId="4D24FC97" wp14:editId="4EDDE6F3">
            <wp:simplePos x="0" y="0"/>
            <wp:positionH relativeFrom="column">
              <wp:posOffset>1129665</wp:posOffset>
            </wp:positionH>
            <wp:positionV relativeFrom="paragraph">
              <wp:posOffset>423545</wp:posOffset>
            </wp:positionV>
            <wp:extent cx="3938905" cy="3285490"/>
            <wp:effectExtent l="0" t="0" r="4445" b="0"/>
            <wp:wrapTopAndBottom distT="0" distB="0"/>
            <wp:docPr id="1524725778" name="image1.png" descr="Obsah obrázku diagram, kresba, řada/pruh, skica&#10;&#10;Popis byl vytvořen automaticky"/>
            <wp:cNvGraphicFramePr/>
            <a:graphic xmlns:a="http://schemas.openxmlformats.org/drawingml/2006/main">
              <a:graphicData uri="http://schemas.openxmlformats.org/drawingml/2006/picture">
                <pic:pic xmlns:pic="http://schemas.openxmlformats.org/drawingml/2006/picture">
                  <pic:nvPicPr>
                    <pic:cNvPr id="0" name="image1.png" descr="Obsah obrázku diagram, kresba, řada/pruh, skica&#10;&#10;Popis byl vytvořen automaticky"/>
                    <pic:cNvPicPr preferRelativeResize="0"/>
                  </pic:nvPicPr>
                  <pic:blipFill>
                    <a:blip r:embed="rId12"/>
                    <a:srcRect/>
                    <a:stretch>
                      <a:fillRect/>
                    </a:stretch>
                  </pic:blipFill>
                  <pic:spPr>
                    <a:xfrm>
                      <a:off x="0" y="0"/>
                      <a:ext cx="3938905" cy="3285490"/>
                    </a:xfrm>
                    <a:prstGeom prst="rect">
                      <a:avLst/>
                    </a:prstGeom>
                    <a:ln/>
                  </pic:spPr>
                </pic:pic>
              </a:graphicData>
            </a:graphic>
            <wp14:sizeRelH relativeFrom="margin">
              <wp14:pctWidth>0</wp14:pctWidth>
            </wp14:sizeRelH>
            <wp14:sizeRelV relativeFrom="margin">
              <wp14:pctHeight>0</wp14:pctHeight>
            </wp14:sizeRelV>
          </wp:anchor>
        </w:drawing>
      </w:r>
      <w:r w:rsidRPr="008666CB">
        <w:rPr>
          <w:b/>
          <w:color w:val="auto"/>
          <w:lang w:val="en-GB"/>
        </w:rPr>
        <w:t>Figure 1</w:t>
      </w:r>
      <w:r w:rsidR="008666CB" w:rsidRPr="008666CB">
        <w:rPr>
          <w:b/>
          <w:color w:val="auto"/>
          <w:lang w:val="en-GB"/>
        </w:rPr>
        <w:t xml:space="preserve"> </w:t>
      </w:r>
      <w:r w:rsidRPr="008666CB">
        <w:rPr>
          <w:b/>
          <w:color w:val="auto"/>
          <w:lang w:val="en-GB"/>
        </w:rPr>
        <w:t>– Horizontal opening and vertical opening angles in IR communication</w:t>
      </w:r>
      <w:r w:rsidR="008666CB" w:rsidRPr="008666CB">
        <w:rPr>
          <w:b/>
          <w:color w:val="auto"/>
          <w:lang w:val="en-GB"/>
        </w:rPr>
        <w:t xml:space="preserve"> </w:t>
      </w:r>
      <w:r w:rsidR="008666CB" w:rsidRPr="008666CB">
        <w:rPr>
          <w:b/>
          <w:color w:val="auto"/>
          <w:lang w:val="en-GB"/>
        </w:rPr>
        <w:br/>
        <w:t>(Fig. 5 of the source standard)</w:t>
      </w:r>
    </w:p>
    <w:p w14:paraId="4D24FC6F" w14:textId="2E6A444D" w:rsidR="00680D7A" w:rsidRPr="00444C8B" w:rsidRDefault="00131A5A" w:rsidP="006323C0">
      <w:pPr>
        <w:pStyle w:val="Heading1"/>
      </w:pPr>
      <w:r>
        <w:t>9</w:t>
      </w:r>
      <w:r w:rsidR="006323C0" w:rsidRPr="000B09F3">
        <w:t> </w:t>
      </w:r>
      <w:r w:rsidR="006D2F64" w:rsidRPr="00444C8B">
        <w:t>Frames and Windows</w:t>
      </w:r>
    </w:p>
    <w:p w14:paraId="4D24FC70" w14:textId="3A234795" w:rsidR="006D2F64" w:rsidRPr="00BA0B5A" w:rsidRDefault="006D2F64"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xml:space="preserve">, spanning 20 pages, describes the general structure of communication frames in IR communication. It also defines the communication diagram for simultaneous communication of multiple IR units. Data frames are separated by a special frame structure, also described in this </w:t>
      </w:r>
      <w:r w:rsidR="009279F8">
        <w:rPr>
          <w:lang w:val="en-GB"/>
        </w:rPr>
        <w:t>clause</w:t>
      </w:r>
      <w:r w:rsidRPr="00BA0B5A">
        <w:rPr>
          <w:lang w:val="en-GB"/>
        </w:rPr>
        <w:t xml:space="preserve">. Frames are divided into communication windows, which are also defined in this </w:t>
      </w:r>
      <w:r w:rsidR="009279F8">
        <w:rPr>
          <w:lang w:val="en-GB"/>
        </w:rPr>
        <w:t>clause</w:t>
      </w:r>
      <w:r w:rsidRPr="00BA0B5A">
        <w:rPr>
          <w:lang w:val="en-GB"/>
        </w:rPr>
        <w:t xml:space="preserve"> (management window, private window, multicast window, broadcast window, compatibility window, spare window, wake-up window).</w:t>
      </w:r>
    </w:p>
    <w:p w14:paraId="4D24FC71" w14:textId="2F0EA8A7" w:rsidR="00680D7A" w:rsidRPr="00444C8B" w:rsidRDefault="00131A5A" w:rsidP="006323C0">
      <w:pPr>
        <w:pStyle w:val="Heading1"/>
      </w:pPr>
      <w:r>
        <w:lastRenderedPageBreak/>
        <w:t>10</w:t>
      </w:r>
      <w:r w:rsidR="006323C0" w:rsidRPr="000B09F3">
        <w:t> </w:t>
      </w:r>
      <w:r w:rsidR="0047356D" w:rsidRPr="00444C8B">
        <w:t>MAC</w:t>
      </w:r>
      <w:r w:rsidR="006D2F64" w:rsidRPr="00444C8B">
        <w:t xml:space="preserve"> Commands</w:t>
      </w:r>
    </w:p>
    <w:p w14:paraId="4D24FC72" w14:textId="739B903E" w:rsidR="00745CCF" w:rsidRPr="00BA0B5A" w:rsidRDefault="00745CCF"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spanning 35 pages, describes the commands at the data link layer of the OSI model, which are used to signal interface activity between MAC communication participants. The respective sub</w:t>
      </w:r>
      <w:r w:rsidR="009279F8">
        <w:rPr>
          <w:lang w:val="en-GB"/>
        </w:rPr>
        <w:t>clause</w:t>
      </w:r>
      <w:r w:rsidRPr="00BA0B5A">
        <w:rPr>
          <w:lang w:val="en-GB"/>
        </w:rPr>
        <w:t>s describe this signalling</w:t>
      </w:r>
      <w:r w:rsidR="00410443">
        <w:rPr>
          <w:lang w:val="en-GB"/>
        </w:rPr>
        <w:t>,</w:t>
      </w:r>
      <w:r w:rsidRPr="00BA0B5A">
        <w:rPr>
          <w:lang w:val="en-GB"/>
        </w:rPr>
        <w:t xml:space="preserve"> based on the requirements of different control units of the ITS station (specifically the IR-CAL communication adaptation layer, the IR-MAE management adaptation entity, and the IR-ME management entity). The </w:t>
      </w:r>
      <w:r w:rsidR="009279F8">
        <w:rPr>
          <w:lang w:val="en-GB"/>
        </w:rPr>
        <w:t>clause</w:t>
      </w:r>
      <w:r w:rsidRPr="00BA0B5A">
        <w:rPr>
          <w:lang w:val="en-GB"/>
        </w:rPr>
        <w:t xml:space="preserve"> also details individual MAC commands</w:t>
      </w:r>
      <w:r w:rsidR="00654BA9">
        <w:rPr>
          <w:lang w:val="en-GB"/>
        </w:rPr>
        <w:t>,</w:t>
      </w:r>
      <w:r w:rsidRPr="00BA0B5A">
        <w:rPr>
          <w:lang w:val="en-GB"/>
        </w:rPr>
        <w:t xml:space="preserve"> in text and in parameter tables.</w:t>
      </w:r>
    </w:p>
    <w:p w14:paraId="4D24FC73" w14:textId="4A7B6086" w:rsidR="00680D7A" w:rsidRPr="00444C8B" w:rsidRDefault="00131A5A" w:rsidP="006323C0">
      <w:pPr>
        <w:pStyle w:val="Heading1"/>
      </w:pPr>
      <w:r>
        <w:t>11</w:t>
      </w:r>
      <w:r w:rsidR="006323C0" w:rsidRPr="000B09F3">
        <w:t> </w:t>
      </w:r>
      <w:r w:rsidR="00745CCF" w:rsidRPr="00444C8B">
        <w:t>Registration Procedure</w:t>
      </w:r>
    </w:p>
    <w:p w14:paraId="4D24FC74" w14:textId="4B78D3F1" w:rsidR="00680D7A" w:rsidRPr="00BA0B5A" w:rsidRDefault="00745CCF"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spanning 4 pages, describes</w:t>
      </w:r>
      <w:r w:rsidR="00654BA9">
        <w:rPr>
          <w:lang w:val="en-GB"/>
        </w:rPr>
        <w:t>,</w:t>
      </w:r>
      <w:r w:rsidRPr="00BA0B5A">
        <w:rPr>
          <w:lang w:val="en-GB"/>
        </w:rPr>
        <w:t xml:space="preserve"> in text, tables, and diagrams</w:t>
      </w:r>
      <w:r w:rsidR="00654BA9">
        <w:rPr>
          <w:lang w:val="en-GB"/>
        </w:rPr>
        <w:t>,</w:t>
      </w:r>
      <w:r w:rsidRPr="00BA0B5A">
        <w:rPr>
          <w:lang w:val="en-GB"/>
        </w:rPr>
        <w:t xml:space="preserve"> the registration procedure used to register the IR interface into communication.</w:t>
      </w:r>
    </w:p>
    <w:p w14:paraId="4D24FC75" w14:textId="40AFB828" w:rsidR="00680D7A" w:rsidRPr="00444C8B" w:rsidRDefault="006323C0" w:rsidP="006323C0">
      <w:pPr>
        <w:pStyle w:val="Heading1"/>
      </w:pPr>
      <w:r>
        <w:t>1</w:t>
      </w:r>
      <w:r w:rsidR="00131A5A">
        <w:t>2</w:t>
      </w:r>
      <w:r w:rsidRPr="000B09F3">
        <w:t> </w:t>
      </w:r>
      <w:r w:rsidR="00745CCF" w:rsidRPr="00444C8B">
        <w:t>Window Management</w:t>
      </w:r>
    </w:p>
    <w:p w14:paraId="4D24FC76" w14:textId="266D2EE3" w:rsidR="00680D7A" w:rsidRPr="00BA0B5A" w:rsidRDefault="00745CCF" w:rsidP="0008295D">
      <w:pPr>
        <w:pBdr>
          <w:top w:val="none" w:sz="4" w:space="0" w:color="000000"/>
          <w:left w:val="none" w:sz="4" w:space="0" w:color="000000"/>
          <w:bottom w:val="none" w:sz="4" w:space="0" w:color="000000"/>
          <w:right w:val="none" w:sz="4" w:space="0" w:color="000000"/>
        </w:pBdr>
        <w:spacing w:after="0" w:line="276" w:lineRule="auto"/>
        <w:jc w:val="both"/>
        <w:rPr>
          <w:b/>
          <w:sz w:val="24"/>
          <w:szCs w:val="24"/>
          <w:lang w:val="en-GB"/>
        </w:rPr>
      </w:pPr>
      <w:r w:rsidRPr="00BA0B5A">
        <w:rPr>
          <w:lang w:val="en-GB"/>
        </w:rPr>
        <w:t xml:space="preserve">This </w:t>
      </w:r>
      <w:r w:rsidR="009279F8">
        <w:rPr>
          <w:lang w:val="en-GB"/>
        </w:rPr>
        <w:t>clause</w:t>
      </w:r>
      <w:r w:rsidRPr="00BA0B5A">
        <w:rPr>
          <w:lang w:val="en-GB"/>
        </w:rPr>
        <w:t>, spanning 2 pages, describes</w:t>
      </w:r>
      <w:r w:rsidR="00654BA9">
        <w:rPr>
          <w:lang w:val="en-GB"/>
        </w:rPr>
        <w:t>,</w:t>
      </w:r>
      <w:r w:rsidRPr="00BA0B5A">
        <w:rPr>
          <w:lang w:val="en-GB"/>
        </w:rPr>
        <w:t xml:space="preserve"> in text</w:t>
      </w:r>
      <w:r w:rsidR="00654BA9">
        <w:rPr>
          <w:lang w:val="en-GB"/>
        </w:rPr>
        <w:t>,</w:t>
      </w:r>
      <w:r w:rsidRPr="00BA0B5A">
        <w:rPr>
          <w:lang w:val="en-GB"/>
        </w:rPr>
        <w:t xml:space="preserve"> the mechanism for </w:t>
      </w:r>
      <w:r w:rsidR="009D7A2A" w:rsidRPr="00BA0B5A">
        <w:rPr>
          <w:lang w:val="en-GB"/>
        </w:rPr>
        <w:t>managing</w:t>
      </w:r>
      <w:r w:rsidRPr="00BA0B5A">
        <w:rPr>
          <w:lang w:val="en-GB"/>
        </w:rPr>
        <w:t xml:space="preserve"> communication windows within IR communication. This </w:t>
      </w:r>
      <w:r w:rsidR="009D7A2A" w:rsidRPr="00BA0B5A">
        <w:rPr>
          <w:lang w:val="en-GB"/>
        </w:rPr>
        <w:t xml:space="preserve">especially </w:t>
      </w:r>
      <w:r w:rsidRPr="00BA0B5A">
        <w:rPr>
          <w:lang w:val="en-GB"/>
        </w:rPr>
        <w:t>includes allocating sufficient communication time for individual IR interfaces in communication, managing communication windows for time-critical applications, controlling the required IR interface response time, and more.</w:t>
      </w:r>
    </w:p>
    <w:p w14:paraId="4D24FC77" w14:textId="0C457639" w:rsidR="00680D7A" w:rsidRPr="00444C8B" w:rsidRDefault="006323C0" w:rsidP="006323C0">
      <w:pPr>
        <w:pStyle w:val="Heading1"/>
      </w:pPr>
      <w:r>
        <w:t>1</w:t>
      </w:r>
      <w:r w:rsidR="00131A5A">
        <w:t>3</w:t>
      </w:r>
      <w:r w:rsidRPr="000B09F3">
        <w:t> </w:t>
      </w:r>
      <w:r w:rsidR="0047356D" w:rsidRPr="00444C8B">
        <w:t>IR</w:t>
      </w:r>
      <w:r w:rsidR="009D7A2A" w:rsidRPr="00444C8B">
        <w:t xml:space="preserve"> Management Entity</w:t>
      </w:r>
    </w:p>
    <w:p w14:paraId="4D24FC78" w14:textId="03EE3D9F" w:rsidR="00680D7A" w:rsidRPr="00BA0B5A" w:rsidRDefault="009D7A2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spanning 4 pages, describes</w:t>
      </w:r>
      <w:r w:rsidR="0000768C">
        <w:rPr>
          <w:lang w:val="en-GB"/>
        </w:rPr>
        <w:t>,</w:t>
      </w:r>
      <w:r w:rsidRPr="00BA0B5A">
        <w:rPr>
          <w:lang w:val="en-GB"/>
        </w:rPr>
        <w:t xml:space="preserve"> in text and tables</w:t>
      </w:r>
      <w:r w:rsidR="0000768C">
        <w:rPr>
          <w:lang w:val="en-GB"/>
        </w:rPr>
        <w:t>,</w:t>
      </w:r>
      <w:r w:rsidRPr="00BA0B5A">
        <w:rPr>
          <w:lang w:val="en-GB"/>
        </w:rPr>
        <w:t xml:space="preserve"> the basic features of the IR interface management entity (IR-ME), which is responsible for managing the IR MAC layer and the IR physical layer of the OSI model. This unit also ensures connectivity with the higher layers of the ITS station.</w:t>
      </w:r>
    </w:p>
    <w:p w14:paraId="4D24FC79" w14:textId="2658E4E8" w:rsidR="00680D7A" w:rsidRPr="00444C8B" w:rsidRDefault="006323C0" w:rsidP="006323C0">
      <w:pPr>
        <w:pStyle w:val="Heading1"/>
      </w:pPr>
      <w:r>
        <w:t>1</w:t>
      </w:r>
      <w:r w:rsidR="00131A5A">
        <w:t>4</w:t>
      </w:r>
      <w:r w:rsidRPr="000B09F3">
        <w:t> </w:t>
      </w:r>
      <w:r w:rsidR="0047356D" w:rsidRPr="00444C8B">
        <w:t>Adapta</w:t>
      </w:r>
      <w:r w:rsidR="00FA6F06" w:rsidRPr="00444C8B">
        <w:t>tion</w:t>
      </w:r>
    </w:p>
    <w:p w14:paraId="4D24FC7A" w14:textId="608459EF" w:rsidR="00680D7A" w:rsidRDefault="009D7A2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spanning 6 pages, describes in text, diagrams, and tables</w:t>
      </w:r>
      <w:r w:rsidR="008A1DA4">
        <w:rPr>
          <w:lang w:val="en-GB"/>
        </w:rPr>
        <w:t>,</w:t>
      </w:r>
      <w:r w:rsidRPr="00BA0B5A">
        <w:rPr>
          <w:lang w:val="en-GB"/>
        </w:rPr>
        <w:t xml:space="preserve"> how to integrate the IR interface into the structure of the ITS station. The adaptation structure of the IR interface into the ITS station is shown in Figure 2.</w:t>
      </w:r>
    </w:p>
    <w:p w14:paraId="49090A38" w14:textId="77777777" w:rsidR="0008295D" w:rsidRPr="00BA0B5A" w:rsidRDefault="0008295D"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p>
    <w:p w14:paraId="70CA8BFF" w14:textId="4CE76326" w:rsidR="008666CB" w:rsidRPr="008666CB" w:rsidRDefault="009D7A2A" w:rsidP="008666CB">
      <w:pPr>
        <w:pBdr>
          <w:top w:val="nil"/>
          <w:left w:val="nil"/>
          <w:bottom w:val="nil"/>
          <w:right w:val="nil"/>
          <w:between w:val="nil"/>
        </w:pBdr>
        <w:spacing w:after="200"/>
        <w:jc w:val="center"/>
        <w:rPr>
          <w:b/>
          <w:color w:val="auto"/>
          <w:lang w:val="en-GB"/>
        </w:rPr>
      </w:pPr>
      <w:r w:rsidRPr="008666CB">
        <w:rPr>
          <w:b/>
          <w:color w:val="auto"/>
          <w:lang w:val="en-GB"/>
        </w:rPr>
        <w:t>Figure 2</w:t>
      </w:r>
      <w:r w:rsidR="008666CB" w:rsidRPr="008666CB">
        <w:rPr>
          <w:b/>
          <w:color w:val="auto"/>
          <w:lang w:val="en-GB"/>
        </w:rPr>
        <w:t xml:space="preserve"> </w:t>
      </w:r>
      <w:r w:rsidRPr="008666CB">
        <w:rPr>
          <w:b/>
          <w:color w:val="auto"/>
          <w:lang w:val="en-GB"/>
        </w:rPr>
        <w:t>– Medium adaptation of the IR interface into the ITS station</w:t>
      </w:r>
      <w:r w:rsidR="008666CB" w:rsidRPr="008666CB">
        <w:rPr>
          <w:b/>
          <w:color w:val="auto"/>
          <w:lang w:val="en-GB"/>
        </w:rPr>
        <w:t xml:space="preserve"> (Fig. 17 of the source standard)</w:t>
      </w:r>
    </w:p>
    <w:p w14:paraId="4D24FC7E" w14:textId="5134C731" w:rsidR="00680D7A" w:rsidRDefault="00051089" w:rsidP="008666CB">
      <w:pPr>
        <w:pBdr>
          <w:top w:val="nil"/>
          <w:left w:val="nil"/>
          <w:bottom w:val="nil"/>
          <w:right w:val="nil"/>
          <w:between w:val="nil"/>
        </w:pBdr>
        <w:spacing w:after="200"/>
        <w:jc w:val="center"/>
        <w:rPr>
          <w:b/>
          <w:color w:val="1F497D"/>
          <w:lang w:val="en-GB"/>
        </w:rPr>
      </w:pPr>
      <w:r w:rsidRPr="00051089">
        <w:rPr>
          <w:noProof/>
          <w:lang w:val="cs-CZ" w:eastAsia="cs-CZ"/>
        </w:rPr>
        <w:drawing>
          <wp:inline distT="0" distB="0" distL="0" distR="0" wp14:anchorId="24CCA98C" wp14:editId="10E7BD91">
            <wp:extent cx="4225683" cy="3016155"/>
            <wp:effectExtent l="0" t="0" r="381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4404" cy="3029517"/>
                    </a:xfrm>
                    <a:prstGeom prst="rect">
                      <a:avLst/>
                    </a:prstGeom>
                  </pic:spPr>
                </pic:pic>
              </a:graphicData>
            </a:graphic>
          </wp:inline>
        </w:drawing>
      </w:r>
    </w:p>
    <w:p w14:paraId="4AFA1E91" w14:textId="77777777" w:rsidR="008666CB" w:rsidRPr="00BA0B5A" w:rsidRDefault="008666CB" w:rsidP="008666CB">
      <w:pPr>
        <w:pBdr>
          <w:top w:val="nil"/>
          <w:left w:val="nil"/>
          <w:bottom w:val="nil"/>
          <w:right w:val="nil"/>
          <w:between w:val="nil"/>
        </w:pBdr>
        <w:spacing w:after="200"/>
        <w:jc w:val="center"/>
        <w:rPr>
          <w:lang w:val="en-GB"/>
        </w:rPr>
      </w:pPr>
    </w:p>
    <w:p w14:paraId="4D24FC80" w14:textId="55F180A4" w:rsidR="00680D7A" w:rsidRPr="00444C8B" w:rsidRDefault="006323C0" w:rsidP="006323C0">
      <w:pPr>
        <w:pStyle w:val="Heading1"/>
      </w:pPr>
      <w:bookmarkStart w:id="9" w:name="_heading=h.lnxbz9" w:colFirst="0" w:colLast="0"/>
      <w:bookmarkEnd w:id="9"/>
      <w:r>
        <w:t>1</w:t>
      </w:r>
      <w:r w:rsidR="00131A5A">
        <w:t>5</w:t>
      </w:r>
      <w:r w:rsidRPr="000B09F3">
        <w:t> </w:t>
      </w:r>
      <w:r w:rsidR="009D7A2A" w:rsidRPr="00444C8B">
        <w:t>Adoption of Other Standards and Internationally Accepted Practices</w:t>
      </w:r>
    </w:p>
    <w:p w14:paraId="4D24FC81" w14:textId="1A4A2773" w:rsidR="00680D7A" w:rsidRPr="00BA0B5A" w:rsidRDefault="009D7A2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one-paragraph </w:t>
      </w:r>
      <w:r w:rsidR="009279F8">
        <w:rPr>
          <w:lang w:val="en-GB"/>
        </w:rPr>
        <w:t>clause</w:t>
      </w:r>
      <w:r w:rsidR="006C2F0E">
        <w:rPr>
          <w:lang w:val="en-GB"/>
        </w:rPr>
        <w:t>,</w:t>
      </w:r>
      <w:r w:rsidRPr="00BA0B5A">
        <w:rPr>
          <w:lang w:val="en-GB"/>
        </w:rPr>
        <w:t xml:space="preserve"> with a reference to ISO 21217</w:t>
      </w:r>
      <w:r w:rsidR="006C2F0E">
        <w:rPr>
          <w:lang w:val="en-GB"/>
        </w:rPr>
        <w:t>,</w:t>
      </w:r>
      <w:r w:rsidRPr="00BA0B5A">
        <w:rPr>
          <w:lang w:val="en-GB"/>
        </w:rPr>
        <w:t xml:space="preserve"> describes how to apply the described document using local (regional) conditions and standards.</w:t>
      </w:r>
    </w:p>
    <w:p w14:paraId="4D24FC82" w14:textId="74832F70" w:rsidR="00680D7A" w:rsidRPr="00444C8B" w:rsidRDefault="006323C0" w:rsidP="006323C0">
      <w:pPr>
        <w:pStyle w:val="Heading1"/>
      </w:pPr>
      <w:r>
        <w:lastRenderedPageBreak/>
        <w:t>1</w:t>
      </w:r>
      <w:r w:rsidR="00131A5A">
        <w:t>6</w:t>
      </w:r>
      <w:r w:rsidRPr="000B09F3">
        <w:t> </w:t>
      </w:r>
      <w:r w:rsidR="009D7A2A" w:rsidRPr="00444C8B">
        <w:t>Marking and Labelling</w:t>
      </w:r>
    </w:p>
    <w:p w14:paraId="4D24FC83" w14:textId="6387F4DE" w:rsidR="00680D7A" w:rsidRPr="00BA0B5A" w:rsidRDefault="009D7A2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one-paragraph </w:t>
      </w:r>
      <w:r w:rsidR="009279F8">
        <w:rPr>
          <w:lang w:val="en-GB"/>
        </w:rPr>
        <w:t>clause</w:t>
      </w:r>
      <w:r w:rsidRPr="00BA0B5A">
        <w:rPr>
          <w:lang w:val="en-GB"/>
        </w:rPr>
        <w:t xml:space="preserve"> defines the requirements for labelling devices that contain IR interfaces compatible with the described document.</w:t>
      </w:r>
    </w:p>
    <w:p w14:paraId="4D24FC84" w14:textId="735D8510" w:rsidR="00680D7A" w:rsidRPr="00444C8B" w:rsidRDefault="006323C0" w:rsidP="006323C0">
      <w:pPr>
        <w:pStyle w:val="Heading1"/>
      </w:pPr>
      <w:r>
        <w:t>1</w:t>
      </w:r>
      <w:r w:rsidR="00131A5A">
        <w:t>7</w:t>
      </w:r>
      <w:r w:rsidRPr="000B09F3">
        <w:t> </w:t>
      </w:r>
      <w:r w:rsidR="009D7A2A" w:rsidRPr="00444C8B">
        <w:t>Declaration of Patents and Intellectual Property</w:t>
      </w:r>
    </w:p>
    <w:p w14:paraId="4D24FC85" w14:textId="68199A55" w:rsidR="00680D7A" w:rsidRPr="00BA0B5A" w:rsidRDefault="009D7A2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 xml:space="preserve">This </w:t>
      </w:r>
      <w:r w:rsidR="009279F8">
        <w:rPr>
          <w:lang w:val="en-GB"/>
        </w:rPr>
        <w:t>clause</w:t>
      </w:r>
      <w:r w:rsidRPr="00BA0B5A">
        <w:rPr>
          <w:lang w:val="en-GB"/>
        </w:rPr>
        <w:t>, spanning 3 pages, refers to patent ownership associated with the implementation of IR interfaces compatible with the described document.</w:t>
      </w:r>
    </w:p>
    <w:p w14:paraId="4D24FC86" w14:textId="77777777" w:rsidR="00680D7A" w:rsidRPr="00444C8B" w:rsidRDefault="00DF3BD4" w:rsidP="006323C0">
      <w:pPr>
        <w:pStyle w:val="Heading1"/>
      </w:pPr>
      <w:r w:rsidRPr="00444C8B">
        <w:t>Annex A (Normative) - Coding and Error Correction of Profiles 0 and 1 and of Commands</w:t>
      </w:r>
    </w:p>
    <w:p w14:paraId="4D24FC87" w14:textId="77777777" w:rsidR="00DF3BD4" w:rsidRPr="00051089" w:rsidRDefault="00DF3BD4" w:rsidP="0008295D">
      <w:pPr>
        <w:pBdr>
          <w:top w:val="none" w:sz="4" w:space="0" w:color="000000"/>
          <w:left w:val="none" w:sz="4" w:space="0" w:color="000000"/>
          <w:bottom w:val="none" w:sz="4" w:space="0" w:color="000000"/>
          <w:right w:val="none" w:sz="4" w:space="0" w:color="000000"/>
        </w:pBdr>
        <w:spacing w:after="0" w:line="276" w:lineRule="auto"/>
        <w:jc w:val="both"/>
        <w:rPr>
          <w:b/>
          <w:lang w:val="en-GB"/>
        </w:rPr>
      </w:pPr>
      <w:r w:rsidRPr="00051089">
        <w:rPr>
          <w:lang w:val="en-GB"/>
        </w:rPr>
        <w:t>This 2-page annex contains textual and tabular definitions of error correction algorithms for the given communication profiles.</w:t>
      </w:r>
    </w:p>
    <w:p w14:paraId="4D24FC88" w14:textId="77777777" w:rsidR="00680D7A" w:rsidRPr="00444C8B" w:rsidRDefault="00DF3BD4" w:rsidP="006323C0">
      <w:pPr>
        <w:pStyle w:val="Heading1"/>
      </w:pPr>
      <w:r w:rsidRPr="00444C8B">
        <w:t>Annex B (Normative) - Coding and Modulation of Profile 2 to Profile 6</w:t>
      </w:r>
    </w:p>
    <w:p w14:paraId="4D24FC89" w14:textId="77777777" w:rsidR="00DF3BD4" w:rsidRPr="00BA0B5A" w:rsidRDefault="00DF3BD4"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This 7-page annex contains textual and tabular definitions of error correction algorithms for the given communication profiles.</w:t>
      </w:r>
    </w:p>
    <w:p w14:paraId="4D24FC8A" w14:textId="77777777" w:rsidR="00680D7A" w:rsidRPr="00444C8B" w:rsidRDefault="00DF3BD4" w:rsidP="006323C0">
      <w:pPr>
        <w:pStyle w:val="Heading1"/>
      </w:pPr>
      <w:r w:rsidRPr="00444C8B">
        <w:t>Annex C (Informative) - Link Power Budget</w:t>
      </w:r>
    </w:p>
    <w:p w14:paraId="4D24FC8B" w14:textId="1B929001" w:rsidR="00DF3BD4" w:rsidRPr="00BA0B5A" w:rsidRDefault="00DF3BD4"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This 6-page annex contains texts, diagrams, and tables</w:t>
      </w:r>
      <w:r w:rsidR="00616F17">
        <w:rPr>
          <w:lang w:val="en-GB"/>
        </w:rPr>
        <w:t>,</w:t>
      </w:r>
      <w:r w:rsidRPr="00BA0B5A">
        <w:rPr>
          <w:lang w:val="en-GB"/>
        </w:rPr>
        <w:t xml:space="preserve"> describing the implementation of the IR interface where the power consumption in the “in-vehicle unit and roadside equipment” system is shifted to the roadside equipment. This model simplifies the implementation of the IR interface in vehicles.</w:t>
      </w:r>
    </w:p>
    <w:p w14:paraId="4D24FC8C" w14:textId="77777777" w:rsidR="00680D7A" w:rsidRPr="00444C8B" w:rsidRDefault="00DF3BD4" w:rsidP="006323C0">
      <w:pPr>
        <w:pStyle w:val="Heading1"/>
      </w:pPr>
      <w:r w:rsidRPr="00444C8B">
        <w:t>Annex D (Informative) - Link Directivity Considerations</w:t>
      </w:r>
    </w:p>
    <w:p w14:paraId="4D24FC8D" w14:textId="59E732D0" w:rsidR="00680D7A" w:rsidRPr="00BA0B5A" w:rsidRDefault="00DF3BD4"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This 2-page annex provides texts and diagrams</w:t>
      </w:r>
      <w:r w:rsidR="00D245E0">
        <w:rPr>
          <w:lang w:val="en-GB"/>
        </w:rPr>
        <w:t>,</w:t>
      </w:r>
      <w:r w:rsidRPr="00BA0B5A">
        <w:rPr>
          <w:lang w:val="en-GB"/>
        </w:rPr>
        <w:t xml:space="preserve"> with examples of antenna placement for the IR interface on vehicles</w:t>
      </w:r>
      <w:r w:rsidR="0047356D" w:rsidRPr="00BA0B5A">
        <w:rPr>
          <w:lang w:val="en-GB"/>
        </w:rPr>
        <w:t>.</w:t>
      </w:r>
    </w:p>
    <w:p w14:paraId="4D24FC8E" w14:textId="77777777" w:rsidR="00680D7A" w:rsidRPr="00444C8B" w:rsidRDefault="00DF3BD4" w:rsidP="006323C0">
      <w:pPr>
        <w:pStyle w:val="Heading1"/>
      </w:pPr>
      <w:r w:rsidRPr="00444C8B">
        <w:t>Annex E (Informative) - Compatibility of CALM and Non-CALM Infrared Systems</w:t>
      </w:r>
    </w:p>
    <w:p w14:paraId="4D24FC8F" w14:textId="77777777" w:rsidR="00680D7A" w:rsidRPr="00BA0B5A" w:rsidRDefault="00BA0B5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This 2-page annex describes in text the basic mechanisms to ensure compatibility of the IR interface according to the described document with IR devices that do not meet the ISO 21214 requirements.</w:t>
      </w:r>
    </w:p>
    <w:p w14:paraId="4D24FC90" w14:textId="77777777" w:rsidR="00680D7A" w:rsidRPr="00444C8B" w:rsidRDefault="00BA0B5A" w:rsidP="006323C0">
      <w:pPr>
        <w:pStyle w:val="Heading1"/>
      </w:pPr>
      <w:r w:rsidRPr="00444C8B">
        <w:t>Annex F (Normative) - Specification of MR-IR Communication Protocol for Compatibility with ISO 21214</w:t>
      </w:r>
    </w:p>
    <w:p w14:paraId="4D24FC91" w14:textId="74785AF6" w:rsidR="00680D7A" w:rsidRPr="00BA0B5A" w:rsidRDefault="00BA0B5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This 25-page annex describes in text, tables, and diagrams</w:t>
      </w:r>
      <w:r w:rsidR="00770005">
        <w:rPr>
          <w:lang w:val="en-GB"/>
        </w:rPr>
        <w:t>,</w:t>
      </w:r>
      <w:r w:rsidRPr="00BA0B5A">
        <w:rPr>
          <w:lang w:val="en-GB"/>
        </w:rPr>
        <w:t xml:space="preserve"> the requirements for adapting the data layer of the existing MR-IR interface to achieve compatibility with the requirements of the described document.</w:t>
      </w:r>
    </w:p>
    <w:p w14:paraId="4D24FC92" w14:textId="77777777" w:rsidR="00680D7A" w:rsidRPr="00444C8B" w:rsidRDefault="00BA0B5A" w:rsidP="006323C0">
      <w:pPr>
        <w:pStyle w:val="Heading1"/>
      </w:pPr>
      <w:r w:rsidRPr="00444C8B">
        <w:t>Annex G (Informative) - Summary of changes between this version of ISO 21214 and the previously published version</w:t>
      </w:r>
    </w:p>
    <w:p w14:paraId="4D24FC93" w14:textId="02167C2F" w:rsidR="00680D7A" w:rsidRPr="00BA0B5A" w:rsidRDefault="00BA0B5A" w:rsidP="0008295D">
      <w:pPr>
        <w:pBdr>
          <w:top w:val="none" w:sz="4" w:space="0" w:color="000000"/>
          <w:left w:val="none" w:sz="4" w:space="0" w:color="000000"/>
          <w:bottom w:val="none" w:sz="4" w:space="0" w:color="000000"/>
          <w:right w:val="none" w:sz="4" w:space="0" w:color="000000"/>
        </w:pBdr>
        <w:spacing w:after="0" w:line="276" w:lineRule="auto"/>
        <w:jc w:val="both"/>
        <w:rPr>
          <w:lang w:val="en-GB"/>
        </w:rPr>
      </w:pPr>
      <w:r w:rsidRPr="00BA0B5A">
        <w:rPr>
          <w:lang w:val="en-GB"/>
        </w:rPr>
        <w:t>This 2-page annex contains a list of changes</w:t>
      </w:r>
      <w:r w:rsidR="00770005">
        <w:rPr>
          <w:lang w:val="en-GB"/>
        </w:rPr>
        <w:t>,</w:t>
      </w:r>
      <w:r w:rsidRPr="00BA0B5A">
        <w:rPr>
          <w:lang w:val="en-GB"/>
        </w:rPr>
        <w:t xml:space="preserve"> compared to the original edition of the standard.</w:t>
      </w:r>
    </w:p>
    <w:p w14:paraId="4D24FC94" w14:textId="77777777" w:rsidR="00680D7A" w:rsidRDefault="00680D7A">
      <w:pPr>
        <w:spacing w:after="120"/>
        <w:jc w:val="both"/>
      </w:pPr>
    </w:p>
    <w:sectPr w:rsidR="00680D7A" w:rsidSect="009279F8">
      <w:footerReference w:type="even" r:id="rId14"/>
      <w:footerReference w:type="default" r:id="rId15"/>
      <w:pgSz w:w="11907" w:h="16840"/>
      <w:pgMar w:top="1134" w:right="964" w:bottom="1134" w:left="102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AB9C0" w14:textId="77777777" w:rsidR="00A76AF6" w:rsidRDefault="00A76AF6">
      <w:r>
        <w:separator/>
      </w:r>
    </w:p>
    <w:p w14:paraId="2A64D5A4" w14:textId="77777777" w:rsidR="00A76AF6" w:rsidRDefault="00A76AF6"/>
  </w:endnote>
  <w:endnote w:type="continuationSeparator" w:id="0">
    <w:p w14:paraId="2775BCE7" w14:textId="77777777" w:rsidR="00A76AF6" w:rsidRDefault="00A76AF6">
      <w:r>
        <w:continuationSeparator/>
      </w:r>
    </w:p>
    <w:p w14:paraId="6ADCBD76" w14:textId="77777777" w:rsidR="00A76AF6" w:rsidRDefault="00A76A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FC9F" w14:textId="5A3F5AA1" w:rsidR="0047356D" w:rsidRDefault="0047356D">
    <w:pPr>
      <w:spacing w:after="120"/>
      <w:ind w:right="360" w:firstLine="360"/>
      <w:jc w:val="center"/>
      <w:rPr>
        <w:sz w:val="18"/>
        <w:szCs w:val="18"/>
      </w:rPr>
    </w:pPr>
    <w:r>
      <w:rPr>
        <w:sz w:val="18"/>
        <w:szCs w:val="18"/>
      </w:rPr>
      <w:fldChar w:fldCharType="begin"/>
    </w:r>
    <w:r>
      <w:rPr>
        <w:sz w:val="18"/>
        <w:szCs w:val="18"/>
      </w:rPr>
      <w:instrText>PAGE</w:instrText>
    </w:r>
    <w:r>
      <w:rPr>
        <w:sz w:val="18"/>
        <w:szCs w:val="18"/>
      </w:rPr>
      <w:fldChar w:fldCharType="separate"/>
    </w:r>
    <w:r w:rsidR="00A8456E">
      <w:rPr>
        <w:noProof/>
        <w:sz w:val="18"/>
        <w:szCs w:val="18"/>
      </w:rPr>
      <w:t>4</w:t>
    </w:r>
    <w:r>
      <w:rPr>
        <w:sz w:val="18"/>
        <w:szCs w:val="18"/>
      </w:rPr>
      <w:fldChar w:fldCharType="end"/>
    </w:r>
  </w:p>
  <w:p w14:paraId="4E879657" w14:textId="77777777" w:rsidR="00155EC8" w:rsidRDefault="00155E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FCA0" w14:textId="068D3200" w:rsidR="0047356D" w:rsidRDefault="0047356D">
    <w:pPr>
      <w:spacing w:after="120"/>
      <w:ind w:right="360" w:firstLine="360"/>
      <w:jc w:val="center"/>
      <w:rPr>
        <w:sz w:val="18"/>
        <w:szCs w:val="18"/>
      </w:rPr>
    </w:pPr>
    <w:r>
      <w:rPr>
        <w:sz w:val="18"/>
        <w:szCs w:val="18"/>
      </w:rPr>
      <w:fldChar w:fldCharType="begin"/>
    </w:r>
    <w:r>
      <w:rPr>
        <w:sz w:val="18"/>
        <w:szCs w:val="18"/>
      </w:rPr>
      <w:instrText>PAGE</w:instrText>
    </w:r>
    <w:r>
      <w:rPr>
        <w:sz w:val="18"/>
        <w:szCs w:val="18"/>
      </w:rPr>
      <w:fldChar w:fldCharType="separate"/>
    </w:r>
    <w:r w:rsidR="00A8456E">
      <w:rPr>
        <w:noProof/>
        <w:sz w:val="18"/>
        <w:szCs w:val="18"/>
      </w:rPr>
      <w:t>1</w:t>
    </w:r>
    <w:r>
      <w:rPr>
        <w:sz w:val="18"/>
        <w:szCs w:val="18"/>
      </w:rPr>
      <w:fldChar w:fldCharType="end"/>
    </w:r>
  </w:p>
  <w:p w14:paraId="53FAF09F" w14:textId="77777777" w:rsidR="00155EC8" w:rsidRDefault="00155E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29334" w14:textId="77777777" w:rsidR="00A76AF6" w:rsidRDefault="00A76AF6">
      <w:r>
        <w:separator/>
      </w:r>
    </w:p>
    <w:p w14:paraId="1AE5E9B7" w14:textId="77777777" w:rsidR="00A76AF6" w:rsidRDefault="00A76AF6"/>
  </w:footnote>
  <w:footnote w:type="continuationSeparator" w:id="0">
    <w:p w14:paraId="21C20757" w14:textId="77777777" w:rsidR="00A76AF6" w:rsidRDefault="00A76AF6">
      <w:r>
        <w:continuationSeparator/>
      </w:r>
    </w:p>
    <w:p w14:paraId="2BA05233" w14:textId="77777777" w:rsidR="00A76AF6" w:rsidRDefault="00A76A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C69"/>
    <w:multiLevelType w:val="multilevel"/>
    <w:tmpl w:val="DEC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03A55"/>
    <w:multiLevelType w:val="hybridMultilevel"/>
    <w:tmpl w:val="5B566E84"/>
    <w:lvl w:ilvl="0" w:tplc="2ADA55C2">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D68A1"/>
    <w:multiLevelType w:val="hybridMultilevel"/>
    <w:tmpl w:val="83F2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A75F81"/>
    <w:multiLevelType w:val="multilevel"/>
    <w:tmpl w:val="6B38C9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26268645">
    <w:abstractNumId w:val="3"/>
  </w:num>
  <w:num w:numId="2" w16cid:durableId="992367481">
    <w:abstractNumId w:val="0"/>
  </w:num>
  <w:num w:numId="3" w16cid:durableId="1860657494">
    <w:abstractNumId w:val="2"/>
  </w:num>
  <w:num w:numId="4" w16cid:durableId="1593124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7A"/>
    <w:rsid w:val="0000768C"/>
    <w:rsid w:val="00042AAB"/>
    <w:rsid w:val="000508B0"/>
    <w:rsid w:val="00051089"/>
    <w:rsid w:val="0008295D"/>
    <w:rsid w:val="000A4ED6"/>
    <w:rsid w:val="00131A5A"/>
    <w:rsid w:val="00155EC8"/>
    <w:rsid w:val="001949C1"/>
    <w:rsid w:val="002441BA"/>
    <w:rsid w:val="00254F2F"/>
    <w:rsid w:val="00304E60"/>
    <w:rsid w:val="00312946"/>
    <w:rsid w:val="003178C8"/>
    <w:rsid w:val="00410443"/>
    <w:rsid w:val="00434AF9"/>
    <w:rsid w:val="00444C8B"/>
    <w:rsid w:val="00457728"/>
    <w:rsid w:val="00464E96"/>
    <w:rsid w:val="0047356D"/>
    <w:rsid w:val="004A393F"/>
    <w:rsid w:val="00531982"/>
    <w:rsid w:val="00574387"/>
    <w:rsid w:val="005C2088"/>
    <w:rsid w:val="00616F17"/>
    <w:rsid w:val="006323C0"/>
    <w:rsid w:val="00654BA9"/>
    <w:rsid w:val="00680D7A"/>
    <w:rsid w:val="006C2F0E"/>
    <w:rsid w:val="006D2F64"/>
    <w:rsid w:val="007147D2"/>
    <w:rsid w:val="00745CCF"/>
    <w:rsid w:val="007510DC"/>
    <w:rsid w:val="00770005"/>
    <w:rsid w:val="007F73E6"/>
    <w:rsid w:val="00810E69"/>
    <w:rsid w:val="008666CB"/>
    <w:rsid w:val="00894988"/>
    <w:rsid w:val="0089721E"/>
    <w:rsid w:val="008A1DA4"/>
    <w:rsid w:val="008D2D03"/>
    <w:rsid w:val="009279F8"/>
    <w:rsid w:val="00930DE9"/>
    <w:rsid w:val="009D7A2A"/>
    <w:rsid w:val="00A05664"/>
    <w:rsid w:val="00A76AF6"/>
    <w:rsid w:val="00A8456E"/>
    <w:rsid w:val="00AA6221"/>
    <w:rsid w:val="00AE1879"/>
    <w:rsid w:val="00BA0B5A"/>
    <w:rsid w:val="00C201D6"/>
    <w:rsid w:val="00D245E0"/>
    <w:rsid w:val="00DC1907"/>
    <w:rsid w:val="00DC2B4D"/>
    <w:rsid w:val="00DF3BD4"/>
    <w:rsid w:val="00DF609A"/>
    <w:rsid w:val="00E01E87"/>
    <w:rsid w:val="00E25E20"/>
    <w:rsid w:val="00F64E2C"/>
    <w:rsid w:val="00F75A3B"/>
    <w:rsid w:val="00FA6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4FC17"/>
  <w15:docId w15:val="{B354CBF8-8E83-451B-A18A-30B29B00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04E60"/>
    <w:pPr>
      <w:spacing w:after="60"/>
    </w:pPr>
    <w:rPr>
      <w:color w:val="333333"/>
    </w:rPr>
  </w:style>
  <w:style w:type="paragraph" w:styleId="Heading1">
    <w:name w:val="heading 1"/>
    <w:basedOn w:val="Normal"/>
    <w:next w:val="Normal"/>
    <w:link w:val="Heading1Char"/>
    <w:uiPriority w:val="99"/>
    <w:qFormat/>
    <w:rsid w:val="006323C0"/>
    <w:pPr>
      <w:keepNext/>
      <w:keepLines/>
      <w:spacing w:before="240"/>
      <w:outlineLvl w:val="0"/>
    </w:pPr>
    <w:rPr>
      <w:rFonts w:eastAsia="Times New Roman" w:cs="Times New Roman"/>
      <w:b/>
      <w:color w:val="003366"/>
      <w:sz w:val="22"/>
      <w:lang w:val="en-GB" w:eastAsia="cs-CZ"/>
    </w:rPr>
  </w:style>
  <w:style w:type="paragraph" w:styleId="Heading2">
    <w:name w:val="heading 2"/>
    <w:basedOn w:val="Normal"/>
    <w:next w:val="Normal"/>
    <w:pPr>
      <w:keepNext/>
      <w:keepLines/>
      <w:spacing w:before="120" w:after="120"/>
      <w:outlineLvl w:val="1"/>
    </w:pPr>
    <w:rPr>
      <w:b/>
    </w:rPr>
  </w:style>
  <w:style w:type="paragraph" w:styleId="Heading3">
    <w:name w:val="heading 3"/>
    <w:basedOn w:val="Normal"/>
    <w:next w:val="Normal"/>
    <w:pPr>
      <w:keepNext/>
      <w:keepLines/>
      <w:spacing w:before="120" w:after="120"/>
      <w:outlineLvl w:val="2"/>
    </w:pPr>
    <w:rPr>
      <w:b/>
    </w:rPr>
  </w:style>
  <w:style w:type="paragraph" w:styleId="Heading4">
    <w:name w:val="heading 4"/>
    <w:basedOn w:val="Normal"/>
    <w:next w:val="Normal"/>
    <w:pPr>
      <w:keepNext/>
      <w:keepLines/>
      <w:spacing w:before="120" w:after="120"/>
      <w:outlineLvl w:val="3"/>
    </w:pPr>
    <w:rPr>
      <w:b/>
    </w:rPr>
  </w:style>
  <w:style w:type="paragraph" w:styleId="Heading5">
    <w:name w:val="heading 5"/>
    <w:basedOn w:val="Normal"/>
    <w:next w:val="Normal"/>
    <w:pPr>
      <w:keepNext/>
      <w:keepLines/>
      <w:spacing w:before="120" w:after="120"/>
      <w:outlineLvl w:val="4"/>
    </w:pPr>
    <w:rPr>
      <w:b/>
    </w:rPr>
  </w:style>
  <w:style w:type="paragraph" w:styleId="Heading6">
    <w:name w:val="heading 6"/>
    <w:basedOn w:val="Normal"/>
    <w:next w:val="Normal"/>
    <w:pPr>
      <w:keepNext/>
      <w:keepLines/>
      <w:spacing w:before="120" w:after="12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rsid w:val="003D0A66"/>
    <w:tblPr>
      <w:tblCellMar>
        <w:top w:w="0" w:type="dxa"/>
        <w:left w:w="0" w:type="dxa"/>
        <w:bottom w:w="0" w:type="dxa"/>
        <w:right w:w="0" w:type="dxa"/>
      </w:tblCellMar>
    </w:tblPr>
  </w:style>
  <w:style w:type="table" w:customStyle="1" w:styleId="a">
    <w:basedOn w:val="TableNormal4"/>
    <w:rsid w:val="003D0A66"/>
    <w:tblPr>
      <w:tblStyleRowBandSize w:val="1"/>
      <w:tblStyleColBandSize w:val="1"/>
      <w:tblCellMar>
        <w:left w:w="115" w:type="dxa"/>
        <w:right w:w="115" w:type="dxa"/>
      </w:tblCellMar>
    </w:tblPr>
  </w:style>
  <w:style w:type="paragraph" w:styleId="CommentText">
    <w:name w:val="annotation text"/>
    <w:link w:val="CommentTextChar"/>
    <w:uiPriority w:val="99"/>
    <w:unhideWhenUsed/>
    <w:rsid w:val="003D0A66"/>
  </w:style>
  <w:style w:type="character" w:customStyle="1" w:styleId="CommentTextChar">
    <w:name w:val="Comment Text Char"/>
    <w:basedOn w:val="DefaultParagraphFont"/>
    <w:link w:val="CommentText"/>
    <w:uiPriority w:val="99"/>
    <w:rsid w:val="003D0A66"/>
  </w:style>
  <w:style w:type="character" w:styleId="CommentReference">
    <w:name w:val="annotation reference"/>
    <w:basedOn w:val="DefaultParagraphFont"/>
    <w:uiPriority w:val="99"/>
    <w:semiHidden/>
    <w:unhideWhenUsed/>
    <w:rsid w:val="003D0A66"/>
    <w:rPr>
      <w:sz w:val="16"/>
      <w:szCs w:val="16"/>
    </w:rPr>
  </w:style>
  <w:style w:type="paragraph" w:styleId="BalloonText">
    <w:name w:val="Balloon Text"/>
    <w:link w:val="BalloonTextChar"/>
    <w:uiPriority w:val="99"/>
    <w:semiHidden/>
    <w:unhideWhenUsed/>
    <w:rsid w:val="004E7B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B56"/>
    <w:rPr>
      <w:rFonts w:ascii="Segoe UI" w:hAnsi="Segoe UI" w:cs="Segoe UI"/>
      <w:sz w:val="18"/>
      <w:szCs w:val="18"/>
    </w:rPr>
  </w:style>
  <w:style w:type="character" w:styleId="Strong">
    <w:name w:val="Strong"/>
    <w:basedOn w:val="DefaultParagraphFont"/>
    <w:uiPriority w:val="22"/>
    <w:qFormat/>
    <w:rsid w:val="004D249A"/>
    <w:rPr>
      <w:b/>
      <w:bCs/>
    </w:rPr>
  </w:style>
  <w:style w:type="paragraph" w:customStyle="1" w:styleId="Textnormy">
    <w:name w:val="Text normy"/>
    <w:link w:val="TextnormyChar1"/>
    <w:rsid w:val="00FE47D7"/>
    <w:pPr>
      <w:spacing w:after="120"/>
      <w:jc w:val="both"/>
    </w:pPr>
    <w:rPr>
      <w:rFonts w:eastAsia="Times New Roman" w:cs="Times New Roman"/>
    </w:rPr>
  </w:style>
  <w:style w:type="character" w:customStyle="1" w:styleId="TextnormyChar1">
    <w:name w:val="Text normy Char1"/>
    <w:basedOn w:val="DefaultParagraphFont"/>
    <w:link w:val="Textnormy"/>
    <w:rsid w:val="00FE47D7"/>
    <w:rPr>
      <w:rFonts w:eastAsia="Times New Roman" w:cs="Times New Roman"/>
    </w:rPr>
  </w:style>
  <w:style w:type="paragraph" w:styleId="Caption">
    <w:name w:val="caption"/>
    <w:uiPriority w:val="35"/>
    <w:unhideWhenUsed/>
    <w:qFormat/>
    <w:rsid w:val="00FE47D7"/>
    <w:pPr>
      <w:pBdr>
        <w:top w:val="nil"/>
        <w:left w:val="nil"/>
        <w:bottom w:val="nil"/>
        <w:right w:val="nil"/>
        <w:between w:val="nil"/>
      </w:pBdr>
      <w:spacing w:after="200"/>
    </w:pPr>
    <w:rPr>
      <w:i/>
      <w:iCs/>
      <w:color w:val="1F497D" w:themeColor="text2"/>
      <w:sz w:val="18"/>
      <w:szCs w:val="18"/>
    </w:rPr>
  </w:style>
  <w:style w:type="paragraph" w:styleId="ListParagraph">
    <w:name w:val="List Paragraph"/>
    <w:uiPriority w:val="34"/>
    <w:qFormat/>
    <w:rsid w:val="00A106D9"/>
    <w:pPr>
      <w:ind w:left="720"/>
      <w:contextualSpacing/>
    </w:pPr>
  </w:style>
  <w:style w:type="table" w:styleId="TableGrid">
    <w:name w:val="Table Grid"/>
    <w:basedOn w:val="TableNormal"/>
    <w:uiPriority w:val="39"/>
    <w:rsid w:val="001F1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009E2"/>
    <w:rPr>
      <w:b/>
      <w:bCs/>
    </w:rPr>
  </w:style>
  <w:style w:type="character" w:customStyle="1" w:styleId="CommentSubjectChar">
    <w:name w:val="Comment Subject Char"/>
    <w:basedOn w:val="CommentTextChar"/>
    <w:link w:val="CommentSubject"/>
    <w:uiPriority w:val="99"/>
    <w:semiHidden/>
    <w:rsid w:val="002009E2"/>
    <w:rPr>
      <w:b/>
      <w:bCs/>
    </w:r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paragraph" w:customStyle="1" w:styleId="1StrCN">
    <w:name w:val="1StrCN"/>
    <w:basedOn w:val="Textnormy"/>
    <w:rsid w:val="002E644C"/>
    <w:pPr>
      <w:spacing w:before="180" w:after="0" w:line="340" w:lineRule="exact"/>
      <w:jc w:val="left"/>
    </w:pPr>
    <w:rPr>
      <w:b/>
      <w:noProof/>
      <w:sz w:val="32"/>
    </w:r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15" w:type="dxa"/>
        <w:right w:w="115" w:type="dxa"/>
      </w:tblCellMar>
    </w:tblPr>
  </w:style>
  <w:style w:type="paragraph" w:styleId="Revision">
    <w:name w:val="Revision"/>
    <w:hidden/>
    <w:uiPriority w:val="99"/>
    <w:semiHidden/>
    <w:rsid w:val="00434AF9"/>
  </w:style>
  <w:style w:type="character" w:styleId="Hyperlink">
    <w:name w:val="Hyperlink"/>
    <w:basedOn w:val="DefaultParagraphFont"/>
    <w:uiPriority w:val="99"/>
    <w:unhideWhenUsed/>
    <w:rsid w:val="00051089"/>
    <w:rPr>
      <w:color w:val="0000FF" w:themeColor="hyperlink"/>
      <w:u w:val="single"/>
    </w:rPr>
  </w:style>
  <w:style w:type="character" w:customStyle="1" w:styleId="TitleChar">
    <w:name w:val="Title Char"/>
    <w:link w:val="Title"/>
    <w:rsid w:val="00E01E87"/>
    <w:rPr>
      <w:b/>
      <w:sz w:val="72"/>
      <w:szCs w:val="72"/>
    </w:rPr>
  </w:style>
  <w:style w:type="character" w:customStyle="1" w:styleId="Internetovodkaz">
    <w:name w:val="Internetový odkaz"/>
    <w:uiPriority w:val="99"/>
    <w:rsid w:val="00042AAB"/>
    <w:rPr>
      <w:color w:val="0000FF"/>
      <w:u w:val="single"/>
    </w:rPr>
  </w:style>
  <w:style w:type="paragraph" w:customStyle="1" w:styleId="1StrNN-2-4">
    <w:name w:val="1StrNN-2-4"/>
    <w:basedOn w:val="Normal"/>
    <w:rsid w:val="006323C0"/>
    <w:pPr>
      <w:widowControl w:val="0"/>
      <w:spacing w:before="640" w:after="0" w:line="340" w:lineRule="exact"/>
      <w:ind w:right="567"/>
    </w:pPr>
    <w:rPr>
      <w:rFonts w:eastAsia="Times New Roman" w:cs="Times New Roman"/>
      <w:b/>
      <w:sz w:val="28"/>
      <w:lang w:val="cs-CZ" w:eastAsia="cs-CZ"/>
    </w:rPr>
  </w:style>
  <w:style w:type="character" w:customStyle="1" w:styleId="Heading1Char">
    <w:name w:val="Heading 1 Char"/>
    <w:link w:val="Heading1"/>
    <w:uiPriority w:val="99"/>
    <w:rsid w:val="006323C0"/>
    <w:rPr>
      <w:rFonts w:eastAsia="Times New Roman" w:cs="Times New Roman"/>
      <w:b/>
      <w:color w:val="003366"/>
      <w:sz w:val="22"/>
      <w:lang w:val="en-GB"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iso.org/obp" TargetMode="Externa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pVghKwZ/ko4sIb7udbEvKDgw==">CgMxLjAyDmguNWo4enU2c2NzMXVvMghoLmdqZGd4czIJaC4zMGowemxsMg5oLnVoZjk3cjg1OThxZzIOaC52bDFleW8zNXlkejgyCWguMTdkcDh2dTIJaC4zcmRjcmpuMgloLjI2aW4xcmcyCGgubG54Yno5OABqKAoUc3VnZ2VzdC5oOWUyZXdzejNhM20SEFZsYWRpbcOtciBGYWx0dXNyITFQZXFJU0xhczFfczhJMGZqUE5McWlSXzRualhlTTdRTg==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5</Pages>
  <Words>1750</Words>
  <Characters>9977</Characters>
  <Application>Microsoft Office Word</Application>
  <DocSecurity>0</DocSecurity>
  <Lines>83</Lines>
  <Paragraphs>23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dc:creator>
  <cp:lastModifiedBy>Jan Vlčinský (CZ-TTR)</cp:lastModifiedBy>
  <cp:revision>40</cp:revision>
  <cp:lastPrinted>2026-05-27T13:46:00Z</cp:lastPrinted>
  <dcterms:created xsi:type="dcterms:W3CDTF">2025-04-09T14:28:00Z</dcterms:created>
  <dcterms:modified xsi:type="dcterms:W3CDTF">2026-06-14T21:28:00Z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39a420c1-e3de-4141-906b-06f9f0f3039c</vt:lpwstr>
  </property>
</Properties>
</file>