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6317817" w14:textId="77777777" w:rsidR="009E2A98" w:rsidRPr="00D0557C" w:rsidRDefault="009E2A98" w:rsidP="009E2A98">
      <w:pPr>
        <w:pStyle w:val="Nzev"/>
        <w:jc w:val="center"/>
        <w:rPr>
          <w:b/>
          <w:color w:val="000000" w:themeColor="text1"/>
          <w:sz w:val="44"/>
          <w:szCs w:val="44"/>
          <w:lang w:val="en-GB"/>
        </w:rPr>
      </w:pPr>
      <w:r w:rsidRPr="00D0557C">
        <w:rPr>
          <w:color w:val="000000" w:themeColor="text1"/>
          <w:sz w:val="44"/>
          <w:szCs w:val="44"/>
          <w:lang w:val="en-GB"/>
        </w:rPr>
        <w:t>EXTRACT from the Technical Standard</w:t>
      </w:r>
    </w:p>
    <w:p w14:paraId="32D8B2AB" w14:textId="77777777" w:rsidR="009E2A98" w:rsidRPr="00F877B1" w:rsidRDefault="009E2A98" w:rsidP="009E2A98">
      <w:pPr>
        <w:pBdr>
          <w:top w:val="none" w:sz="4" w:space="0" w:color="000000"/>
          <w:left w:val="none" w:sz="4" w:space="0" w:color="000000"/>
          <w:bottom w:val="none" w:sz="4" w:space="0" w:color="000000"/>
          <w:right w:val="none" w:sz="4" w:space="0" w:color="000000"/>
        </w:pBdr>
        <w:spacing w:before="120"/>
        <w:jc w:val="center"/>
        <w:rPr>
          <w:b/>
          <w:i/>
          <w:color w:val="003366"/>
          <w:sz w:val="19"/>
          <w:szCs w:val="19"/>
          <w:lang w:val="en-GB"/>
        </w:rPr>
      </w:pPr>
      <w:r w:rsidRPr="00F877B1">
        <w:rPr>
          <w:b/>
          <w:i/>
          <w:color w:val="003366"/>
          <w:sz w:val="19"/>
          <w:szCs w:val="19"/>
          <w:lang w:val="en-GB"/>
        </w:rPr>
        <w:t>This Extract does not replace the technical standard itself; it is only informative material about the standard.</w:t>
      </w:r>
    </w:p>
    <w:tbl>
      <w:tblPr>
        <w:tblStyle w:val="a1"/>
        <w:tblW w:w="9923" w:type="dxa"/>
        <w:tblInd w:w="0" w:type="dxa"/>
        <w:tblBorders>
          <w:top w:val="single" w:sz="12" w:space="0" w:color="000000"/>
          <w:bottom w:val="single" w:sz="12" w:space="0" w:color="000000"/>
        </w:tblBorders>
        <w:tblLayout w:type="fixed"/>
        <w:tblLook w:val="0000" w:firstRow="0" w:lastRow="0" w:firstColumn="0" w:lastColumn="0" w:noHBand="0" w:noVBand="0"/>
      </w:tblPr>
      <w:tblGrid>
        <w:gridCol w:w="7371"/>
        <w:gridCol w:w="2552"/>
      </w:tblGrid>
      <w:tr w:rsidR="00BE3749" w:rsidRPr="006371CB" w14:paraId="635C855A" w14:textId="77777777" w:rsidTr="009E2A98">
        <w:trPr>
          <w:trHeight w:val="1302"/>
        </w:trPr>
        <w:tc>
          <w:tcPr>
            <w:tcW w:w="7371" w:type="dxa"/>
          </w:tcPr>
          <w:p w14:paraId="635C8557" w14:textId="10068DCA" w:rsidR="00BE3749" w:rsidRPr="006371CB" w:rsidRDefault="00333B67" w:rsidP="008915E8">
            <w:pPr>
              <w:pStyle w:val="1StrNN-2-4"/>
              <w:spacing w:before="240" w:after="240"/>
              <w:rPr>
                <w:lang w:val="en-GB"/>
              </w:rPr>
            </w:pPr>
            <w:r w:rsidRPr="00333B67">
              <w:rPr>
                <w:color w:val="333333"/>
                <w:lang w:val="en-GB"/>
              </w:rPr>
              <w:t>Electronic Fee Collection –</w:t>
            </w:r>
            <w:r w:rsidR="008915E8">
              <w:rPr>
                <w:color w:val="333333"/>
                <w:lang w:val="en-GB"/>
              </w:rPr>
              <w:t xml:space="preserve"> </w:t>
            </w:r>
            <w:r w:rsidRPr="00333B67">
              <w:rPr>
                <w:color w:val="333333"/>
                <w:lang w:val="en-GB"/>
              </w:rPr>
              <w:t>Information exchange between service provision and toll charging</w:t>
            </w:r>
          </w:p>
        </w:tc>
        <w:tc>
          <w:tcPr>
            <w:tcW w:w="2552" w:type="dxa"/>
          </w:tcPr>
          <w:p w14:paraId="59B7E1CD" w14:textId="77777777" w:rsidR="00333B67" w:rsidRDefault="00333B67" w:rsidP="009E2A98">
            <w:pPr>
              <w:rPr>
                <w:b/>
                <w:noProof/>
                <w:color w:val="333333"/>
                <w:sz w:val="28"/>
                <w:lang w:val="en-GB"/>
              </w:rPr>
            </w:pPr>
            <w:bookmarkStart w:id="0" w:name="_heading=h.gjdgxs" w:colFirst="0" w:colLast="0"/>
            <w:bookmarkEnd w:id="0"/>
          </w:p>
          <w:p w14:paraId="635C8559" w14:textId="4B280796" w:rsidR="00BE3749" w:rsidRPr="006371CB" w:rsidRDefault="00333B67" w:rsidP="009E2A98">
            <w:pPr>
              <w:rPr>
                <w:lang w:val="en-GB"/>
              </w:rPr>
            </w:pPr>
            <w:r w:rsidRPr="00333B67">
              <w:rPr>
                <w:b/>
                <w:noProof/>
                <w:color w:val="333333"/>
                <w:sz w:val="28"/>
                <w:lang w:val="en-GB"/>
              </w:rPr>
              <w:t>EN ISO 12855</w:t>
            </w:r>
          </w:p>
        </w:tc>
      </w:tr>
    </w:tbl>
    <w:p w14:paraId="1DF0D29F" w14:textId="47A783B7" w:rsidR="001216B2" w:rsidRPr="006371CB" w:rsidRDefault="002C6AEF" w:rsidP="009E2A98">
      <w:pPr>
        <w:pStyle w:val="Titulek"/>
        <w:jc w:val="right"/>
        <w:rPr>
          <w:sz w:val="28"/>
          <w:szCs w:val="28"/>
          <w:lang w:val="en-GB"/>
        </w:rPr>
      </w:pPr>
      <w:r w:rsidRPr="006371CB">
        <w:rPr>
          <w:sz w:val="28"/>
          <w:szCs w:val="28"/>
          <w:lang w:val="en-GB"/>
        </w:rPr>
        <w:tab/>
      </w:r>
      <w:r w:rsidR="001216B2" w:rsidRPr="009E2A98">
        <w:rPr>
          <w:b w:val="0"/>
          <w:color w:val="333333"/>
          <w:sz w:val="22"/>
          <w:szCs w:val="22"/>
          <w:lang w:val="en-GB"/>
        </w:rPr>
        <w:t xml:space="preserve">Published </w:t>
      </w:r>
      <w:r w:rsidR="006371CB" w:rsidRPr="009E2A98">
        <w:rPr>
          <w:b w:val="0"/>
          <w:color w:val="333333"/>
          <w:sz w:val="22"/>
          <w:szCs w:val="22"/>
          <w:lang w:val="en-GB"/>
        </w:rPr>
        <w:t xml:space="preserve">in </w:t>
      </w:r>
      <w:r w:rsidR="00333B67">
        <w:rPr>
          <w:b w:val="0"/>
          <w:color w:val="333333"/>
          <w:sz w:val="22"/>
          <w:szCs w:val="22"/>
          <w:lang w:val="en-GB"/>
        </w:rPr>
        <w:t>2025 (Edition 4)</w:t>
      </w:r>
      <w:r w:rsidR="001216B2" w:rsidRPr="009E2A98">
        <w:rPr>
          <w:b w:val="0"/>
          <w:color w:val="333333"/>
          <w:sz w:val="22"/>
          <w:szCs w:val="22"/>
          <w:lang w:val="en-GB"/>
        </w:rPr>
        <w:t xml:space="preserve">, </w:t>
      </w:r>
      <w:r w:rsidR="00333B67">
        <w:rPr>
          <w:b w:val="0"/>
          <w:color w:val="333333"/>
          <w:sz w:val="22"/>
          <w:szCs w:val="22"/>
          <w:lang w:val="en-GB"/>
        </w:rPr>
        <w:t>306</w:t>
      </w:r>
      <w:r w:rsidR="001216B2" w:rsidRPr="009E2A98">
        <w:rPr>
          <w:b w:val="0"/>
          <w:color w:val="333333"/>
          <w:sz w:val="22"/>
          <w:szCs w:val="22"/>
          <w:lang w:val="en-GB"/>
        </w:rPr>
        <w:t xml:space="preserve"> pages</w:t>
      </w:r>
    </w:p>
    <w:p w14:paraId="635C855C" w14:textId="5AAF0FF4" w:rsidR="00BE3749" w:rsidRPr="001713A5" w:rsidRDefault="00E8646C" w:rsidP="009E2A98">
      <w:pPr>
        <w:pStyle w:val="Nadpis1"/>
      </w:pPr>
      <w:r w:rsidRPr="001713A5">
        <w:t>Introduction</w:t>
      </w:r>
    </w:p>
    <w:p w14:paraId="635C855F" w14:textId="4DFD361F" w:rsidR="00BE3749" w:rsidRPr="006371CB" w:rsidRDefault="00333B67" w:rsidP="009E2A98">
      <w:pPr>
        <w:rPr>
          <w:lang w:val="en-GB"/>
        </w:rPr>
      </w:pPr>
      <w:r w:rsidRPr="00333B67">
        <w:rPr>
          <w:lang w:val="en-GB"/>
        </w:rPr>
        <w:t>This technical standard (hereinafter also referred to as the "described document") specifies the interface for the exchange of data messages between the main entities (roles) of the electronic fee collection system architecture, i.e. the toll charger and the toll service provider. It establishes the complete specification of application protocol data units (APDUs), application data units (ADUs), their syntax, semantics and transfer mechanisms supporting interoperability between the back-office systems of toll chargers and toll service providers.</w:t>
      </w:r>
    </w:p>
    <w:p w14:paraId="68C0AB82" w14:textId="77777777" w:rsidR="001713A5" w:rsidRPr="009E2A98" w:rsidRDefault="001713A5" w:rsidP="009E2A98">
      <w:pPr>
        <w:jc w:val="left"/>
        <w:rPr>
          <w:rFonts w:eastAsia="Arial" w:cs="Arial"/>
          <w:i/>
          <w:color w:val="003366"/>
          <w:lang w:val="en-GB"/>
        </w:rPr>
      </w:pPr>
      <w:r w:rsidRPr="009E2A98">
        <w:rPr>
          <w:rFonts w:eastAsia="Arial" w:cs="Arial"/>
          <w:i/>
          <w:color w:val="003366"/>
          <w:lang w:val="en-GB"/>
        </w:rPr>
        <w:t>Note: This Extract presents selected chapters of the described document and retains the original chapter numbering.</w:t>
      </w:r>
    </w:p>
    <w:p w14:paraId="635C8561" w14:textId="371B7FD3" w:rsidR="00BE3749" w:rsidRPr="006371CB" w:rsidRDefault="00333B67" w:rsidP="009E2A98">
      <w:pPr>
        <w:pStyle w:val="Nadpis1"/>
      </w:pPr>
      <w:r>
        <w:t>Usage</w:t>
      </w:r>
    </w:p>
    <w:p w14:paraId="635C8562" w14:textId="1D3A7C28" w:rsidR="00BE3749" w:rsidRPr="001713A5" w:rsidRDefault="00333B67" w:rsidP="009E2A98">
      <w:pPr>
        <w:rPr>
          <w:lang w:val="en-GB"/>
        </w:rPr>
      </w:pPr>
      <w:r w:rsidRPr="00333B67">
        <w:rPr>
          <w:lang w:val="en-GB"/>
        </w:rPr>
        <w:t>The described document is intended for toll chargers and toll service providers, as it establishes the basic elements of mutual interoperability at the level of their back-end systems. The document is applicable to vehicle-related toll services including road user charging, parking and access control, independently of the charging technology used</w:t>
      </w:r>
      <w:r w:rsidR="00A505CE" w:rsidRPr="001713A5">
        <w:rPr>
          <w:bCs/>
          <w:lang w:val="en-GB"/>
        </w:rPr>
        <w:t>.</w:t>
      </w:r>
    </w:p>
    <w:p w14:paraId="0224C0C6" w14:textId="77777777" w:rsidR="001713A5" w:rsidRPr="006371CB" w:rsidRDefault="001713A5" w:rsidP="009E2A98">
      <w:pPr>
        <w:pStyle w:val="Nadpis1"/>
      </w:pPr>
      <w:r w:rsidRPr="006371CB">
        <w:t>Scope</w:t>
      </w:r>
    </w:p>
    <w:p w14:paraId="7D86A662" w14:textId="42556719" w:rsidR="001713A5" w:rsidRPr="001713A5" w:rsidRDefault="00333B67" w:rsidP="009E2A98">
      <w:pPr>
        <w:rPr>
          <w:lang w:val="en-GB" w:eastAsia="en-US"/>
        </w:rPr>
      </w:pPr>
      <w:r w:rsidRPr="00333B67">
        <w:rPr>
          <w:lang w:val="en-GB"/>
        </w:rPr>
        <w:t>The described document defines the exchange of information between the toll charger and the toll service provider. It describes the interface functionality, as well as the complete syntax and semantics of the data messages that can be exchanged via the interface (especially trusted objects, context data, exception lists, toll declarations, billing details, enforcement data). Furthermore, transmission mechanisms and support functions are described here</w:t>
      </w:r>
      <w:r>
        <w:rPr>
          <w:lang w:val="en-GB"/>
        </w:rPr>
        <w:t>.</w:t>
      </w:r>
    </w:p>
    <w:p w14:paraId="635C8563" w14:textId="5AB33A34" w:rsidR="00BE3749" w:rsidRPr="006371CB" w:rsidRDefault="005E7B29" w:rsidP="009E2A98">
      <w:pPr>
        <w:pStyle w:val="Nadpis1"/>
      </w:pPr>
      <w:r>
        <w:t>Related</w:t>
      </w:r>
      <w:bookmarkStart w:id="1" w:name="_GoBack"/>
      <w:bookmarkEnd w:id="1"/>
      <w:r w:rsidR="006371CB">
        <w:t xml:space="preserve"> documents</w:t>
      </w:r>
      <w:r w:rsidR="00867843" w:rsidRPr="006371CB">
        <w:t xml:space="preserve"> (</w:t>
      </w:r>
      <w:r w:rsidR="006371CB">
        <w:t>s</w:t>
      </w:r>
      <w:r w:rsidR="00867843" w:rsidRPr="006371CB">
        <w:t>election)</w:t>
      </w:r>
    </w:p>
    <w:p w14:paraId="755F024A" w14:textId="77777777" w:rsidR="00333B67" w:rsidRPr="00333B67" w:rsidRDefault="00333B67" w:rsidP="00333B67">
      <w:pPr>
        <w:rPr>
          <w:lang w:val="en-GB"/>
        </w:rPr>
      </w:pPr>
      <w:r w:rsidRPr="00333B67">
        <w:rPr>
          <w:lang w:val="en-GB"/>
        </w:rPr>
        <w:t>The described document refers to more than 20 technical standards, the most important of which are:</w:t>
      </w:r>
    </w:p>
    <w:p w14:paraId="58E7D953" w14:textId="77777777" w:rsidR="00333B67" w:rsidRPr="00333B67" w:rsidRDefault="00333B67" w:rsidP="00333B67">
      <w:pPr>
        <w:rPr>
          <w:lang w:val="en-GB"/>
        </w:rPr>
      </w:pPr>
      <w:r w:rsidRPr="00333B67">
        <w:rPr>
          <w:lang w:val="en-GB"/>
        </w:rPr>
        <w:t>ISO 14906 — Electronic fee collection — Application interface definition for dedicated short-range communication</w:t>
      </w:r>
    </w:p>
    <w:p w14:paraId="51893C83" w14:textId="77777777" w:rsidR="00333B67" w:rsidRPr="00333B67" w:rsidRDefault="00333B67" w:rsidP="00333B67">
      <w:pPr>
        <w:rPr>
          <w:lang w:val="en-GB"/>
        </w:rPr>
      </w:pPr>
      <w:r w:rsidRPr="00333B67">
        <w:rPr>
          <w:lang w:val="en-GB"/>
        </w:rPr>
        <w:t>ISO/TS 17573-2 — Electronic fee collection — System architecture for vehicle-related tolling — Part 2: Vocabulary</w:t>
      </w:r>
    </w:p>
    <w:p w14:paraId="18E354FE" w14:textId="77777777" w:rsidR="00333B67" w:rsidRPr="00333B67" w:rsidRDefault="00333B67" w:rsidP="00333B67">
      <w:pPr>
        <w:rPr>
          <w:lang w:val="en-GB"/>
        </w:rPr>
      </w:pPr>
      <w:r w:rsidRPr="00333B67">
        <w:rPr>
          <w:lang w:val="en-GB"/>
        </w:rPr>
        <w:t>ISO 17573-3 — Electronic fee collection — System architecture for vehicle-related tolling — Part 3: Data dictionary</w:t>
      </w:r>
    </w:p>
    <w:p w14:paraId="64406139" w14:textId="77777777" w:rsidR="00333B67" w:rsidRPr="00333B67" w:rsidRDefault="00333B67" w:rsidP="00333B67">
      <w:pPr>
        <w:rPr>
          <w:lang w:val="en-GB"/>
        </w:rPr>
      </w:pPr>
      <w:r w:rsidRPr="00333B67">
        <w:rPr>
          <w:lang w:val="en-GB"/>
        </w:rPr>
        <w:t>ISO 12813 — Compliance check communication for autonomous systems</w:t>
      </w:r>
    </w:p>
    <w:p w14:paraId="14DEB674" w14:textId="77777777" w:rsidR="00333B67" w:rsidRPr="00333B67" w:rsidRDefault="00333B67" w:rsidP="00333B67">
      <w:pPr>
        <w:rPr>
          <w:lang w:val="en-GB"/>
        </w:rPr>
      </w:pPr>
      <w:r w:rsidRPr="00333B67">
        <w:rPr>
          <w:lang w:val="en-GB"/>
        </w:rPr>
        <w:t>ISO 13141 — Localization augmentation communication for autonomous systems</w:t>
      </w:r>
    </w:p>
    <w:p w14:paraId="635C8564" w14:textId="3F0A4573" w:rsidR="00BE3749" w:rsidRPr="001713A5" w:rsidRDefault="00333B67" w:rsidP="00333B67">
      <w:pPr>
        <w:rPr>
          <w:lang w:val="en-GB"/>
        </w:rPr>
      </w:pPr>
      <w:r w:rsidRPr="00333B67">
        <w:rPr>
          <w:lang w:val="en-GB"/>
        </w:rPr>
        <w:t>ISO 19299 — Electronic fee collection — Security framework</w:t>
      </w:r>
    </w:p>
    <w:p w14:paraId="635C856B" w14:textId="067E0ADC" w:rsidR="00BE3749" w:rsidRPr="006371CB" w:rsidRDefault="003C3C69" w:rsidP="009E2A98">
      <w:pPr>
        <w:pStyle w:val="Nadpis1"/>
      </w:pPr>
      <w:r>
        <w:t>3</w:t>
      </w:r>
      <w:r w:rsidRPr="00877AB7">
        <w:t> </w:t>
      </w:r>
      <w:r w:rsidR="001642E7" w:rsidRPr="006371CB">
        <w:t>Terms and definitions</w:t>
      </w:r>
    </w:p>
    <w:p w14:paraId="6DFE73D2" w14:textId="306E7501" w:rsidR="00CE15AB" w:rsidRPr="006371CB" w:rsidRDefault="00333B67" w:rsidP="009E2A98">
      <w:pPr>
        <w:rPr>
          <w:lang w:val="en-GB"/>
        </w:rPr>
      </w:pPr>
      <w:r w:rsidRPr="00333B67">
        <w:rPr>
          <w:lang w:val="en-GB"/>
        </w:rPr>
        <w:t>This clause does not introduce additional terms and definitions. For the purposes of this document, the terms and definitions given in ISO/TS 17573-2 apply.</w:t>
      </w:r>
    </w:p>
    <w:p w14:paraId="635C8571" w14:textId="584BCD36" w:rsidR="00BE3749" w:rsidRPr="00D20726" w:rsidRDefault="003C3C69" w:rsidP="009E2A98">
      <w:pPr>
        <w:pStyle w:val="Nadpis1"/>
      </w:pPr>
      <w:r>
        <w:t>4</w:t>
      </w:r>
      <w:r w:rsidRPr="00877AB7">
        <w:t> </w:t>
      </w:r>
      <w:r w:rsidR="00AF39D4" w:rsidRPr="00D20726">
        <w:t>Abbreviations</w:t>
      </w:r>
    </w:p>
    <w:p w14:paraId="6C2C0E75" w14:textId="77777777" w:rsidR="00333B67" w:rsidRPr="00333B67" w:rsidRDefault="00333B67" w:rsidP="00333B67">
      <w:pPr>
        <w:rPr>
          <w:lang w:val="en-GB"/>
        </w:rPr>
      </w:pPr>
      <w:r w:rsidRPr="00333B67">
        <w:rPr>
          <w:lang w:val="en-GB"/>
        </w:rPr>
        <w:t>This clause contains more than 40 abbreviations related to the described document, the most important of which are the following:</w:t>
      </w:r>
    </w:p>
    <w:p w14:paraId="71337D96" w14:textId="77777777" w:rsidR="00333B67" w:rsidRPr="00333B67" w:rsidRDefault="00333B67" w:rsidP="005E4A05">
      <w:pPr>
        <w:spacing w:line="240" w:lineRule="auto"/>
        <w:rPr>
          <w:lang w:val="en-GB"/>
        </w:rPr>
      </w:pPr>
      <w:r w:rsidRPr="00333B67">
        <w:rPr>
          <w:lang w:val="en-GB"/>
        </w:rPr>
        <w:t>ADU</w:t>
      </w:r>
      <w:r w:rsidRPr="00333B67">
        <w:rPr>
          <w:lang w:val="en-GB"/>
        </w:rPr>
        <w:tab/>
        <w:t>application data unit</w:t>
      </w:r>
    </w:p>
    <w:p w14:paraId="5F65D0A9" w14:textId="77777777" w:rsidR="00333B67" w:rsidRPr="00333B67" w:rsidRDefault="00333B67" w:rsidP="005E4A05">
      <w:pPr>
        <w:spacing w:line="240" w:lineRule="auto"/>
        <w:rPr>
          <w:lang w:val="en-GB"/>
        </w:rPr>
      </w:pPr>
      <w:r w:rsidRPr="00333B67">
        <w:rPr>
          <w:lang w:val="en-GB"/>
        </w:rPr>
        <w:lastRenderedPageBreak/>
        <w:t>DSRC</w:t>
      </w:r>
      <w:r w:rsidRPr="00333B67">
        <w:rPr>
          <w:lang w:val="en-GB"/>
        </w:rPr>
        <w:tab/>
        <w:t>dedicated short-range communications</w:t>
      </w:r>
    </w:p>
    <w:p w14:paraId="6002D642" w14:textId="77777777" w:rsidR="00333B67" w:rsidRPr="00333B67" w:rsidRDefault="00333B67" w:rsidP="005E4A05">
      <w:pPr>
        <w:spacing w:line="240" w:lineRule="auto"/>
        <w:rPr>
          <w:lang w:val="en-GB"/>
        </w:rPr>
      </w:pPr>
      <w:r w:rsidRPr="00333B67">
        <w:rPr>
          <w:lang w:val="en-GB"/>
        </w:rPr>
        <w:t>EFC</w:t>
      </w:r>
      <w:r w:rsidRPr="00333B67">
        <w:rPr>
          <w:lang w:val="en-GB"/>
        </w:rPr>
        <w:tab/>
        <w:t>electronic fee collection system; electronic fee collection</w:t>
      </w:r>
    </w:p>
    <w:p w14:paraId="67E28D46" w14:textId="77777777" w:rsidR="00333B67" w:rsidRPr="00333B67" w:rsidRDefault="00333B67" w:rsidP="005E4A05">
      <w:pPr>
        <w:spacing w:line="240" w:lineRule="auto"/>
        <w:rPr>
          <w:lang w:val="en-GB"/>
        </w:rPr>
      </w:pPr>
      <w:r w:rsidRPr="00333B67">
        <w:rPr>
          <w:lang w:val="en-GB"/>
        </w:rPr>
        <w:t>GNSS</w:t>
      </w:r>
      <w:r w:rsidRPr="00333B67">
        <w:rPr>
          <w:lang w:val="en-GB"/>
        </w:rPr>
        <w:tab/>
        <w:t>global navigation satellite system</w:t>
      </w:r>
    </w:p>
    <w:p w14:paraId="79529476" w14:textId="77777777" w:rsidR="00333B67" w:rsidRPr="00333B67" w:rsidRDefault="00333B67" w:rsidP="005E4A05">
      <w:pPr>
        <w:spacing w:line="240" w:lineRule="auto"/>
        <w:rPr>
          <w:lang w:val="en-GB"/>
        </w:rPr>
      </w:pPr>
      <w:r w:rsidRPr="00333B67">
        <w:rPr>
          <w:lang w:val="en-GB"/>
        </w:rPr>
        <w:t>OBE</w:t>
      </w:r>
      <w:r w:rsidRPr="00333B67">
        <w:rPr>
          <w:lang w:val="en-GB"/>
        </w:rPr>
        <w:tab/>
        <w:t>on-board equipment</w:t>
      </w:r>
    </w:p>
    <w:p w14:paraId="7016717E" w14:textId="77777777" w:rsidR="00333B67" w:rsidRPr="00333B67" w:rsidRDefault="00333B67" w:rsidP="005E4A05">
      <w:pPr>
        <w:spacing w:line="240" w:lineRule="auto"/>
        <w:rPr>
          <w:lang w:val="en-GB"/>
        </w:rPr>
      </w:pPr>
      <w:r w:rsidRPr="00333B67">
        <w:rPr>
          <w:lang w:val="en-GB"/>
        </w:rPr>
        <w:t>RSE</w:t>
      </w:r>
      <w:r w:rsidRPr="00333B67">
        <w:rPr>
          <w:lang w:val="en-GB"/>
        </w:rPr>
        <w:tab/>
        <w:t>roadside equipment</w:t>
      </w:r>
    </w:p>
    <w:p w14:paraId="280CEE14" w14:textId="77777777" w:rsidR="00333B67" w:rsidRPr="00333B67" w:rsidRDefault="00333B67" w:rsidP="005E4A05">
      <w:pPr>
        <w:spacing w:line="240" w:lineRule="auto"/>
        <w:rPr>
          <w:lang w:val="en-GB"/>
        </w:rPr>
      </w:pPr>
      <w:r w:rsidRPr="00333B67">
        <w:rPr>
          <w:lang w:val="en-GB"/>
        </w:rPr>
        <w:t>TC</w:t>
      </w:r>
      <w:r w:rsidRPr="00333B67">
        <w:rPr>
          <w:lang w:val="en-GB"/>
        </w:rPr>
        <w:tab/>
        <w:t>toll charger</w:t>
      </w:r>
    </w:p>
    <w:p w14:paraId="1316401F" w14:textId="77777777" w:rsidR="00333B67" w:rsidRPr="00333B67" w:rsidRDefault="00333B67" w:rsidP="005E4A05">
      <w:pPr>
        <w:spacing w:line="240" w:lineRule="auto"/>
        <w:rPr>
          <w:lang w:val="en-GB"/>
        </w:rPr>
      </w:pPr>
      <w:r w:rsidRPr="00333B67">
        <w:rPr>
          <w:lang w:val="en-GB"/>
        </w:rPr>
        <w:t>TSP</w:t>
      </w:r>
      <w:r w:rsidRPr="00333B67">
        <w:rPr>
          <w:lang w:val="en-GB"/>
        </w:rPr>
        <w:tab/>
        <w:t xml:space="preserve">toll service provider </w:t>
      </w:r>
    </w:p>
    <w:p w14:paraId="01E220E9" w14:textId="74123533" w:rsidR="001713A5" w:rsidRPr="00FC6B33" w:rsidRDefault="001713A5" w:rsidP="009E2A98">
      <w:pPr>
        <w:rPr>
          <w:lang w:val="en-GB"/>
        </w:rPr>
      </w:pPr>
      <w:r w:rsidRPr="00FC6B33">
        <w:rPr>
          <w:lang w:val="en-GB"/>
        </w:rPr>
        <w:t xml:space="preserve">NOTE: Other terms and abbreviations from the ITS domain can be found in the </w:t>
      </w:r>
      <w:proofErr w:type="spellStart"/>
      <w:r w:rsidRPr="00FC6B33">
        <w:rPr>
          <w:lang w:val="en-GB"/>
        </w:rPr>
        <w:t>ITSTerminology</w:t>
      </w:r>
      <w:proofErr w:type="spellEnd"/>
      <w:r w:rsidRPr="00FC6B33">
        <w:rPr>
          <w:lang w:val="en-GB"/>
        </w:rPr>
        <w:t xml:space="preserve"> dictionary (</w:t>
      </w:r>
      <w:hyperlink r:id="rId9">
        <w:r w:rsidRPr="00FC6B33">
          <w:rPr>
            <w:rStyle w:val="Internetovodkaz"/>
            <w:i/>
            <w:iCs/>
            <w:lang w:val="en-GB"/>
          </w:rPr>
          <w:t>www.itsterminology.org</w:t>
        </w:r>
      </w:hyperlink>
      <w:r w:rsidRPr="00FC6B33">
        <w:rPr>
          <w:rStyle w:val="Internetovodkaz"/>
          <w:i/>
          <w:iCs/>
          <w:lang w:val="en-GB"/>
        </w:rPr>
        <w:t>)</w:t>
      </w:r>
      <w:r w:rsidRPr="00FC6B33">
        <w:rPr>
          <w:lang w:val="en-GB"/>
        </w:rPr>
        <w:t xml:space="preserve">, the </w:t>
      </w:r>
      <w:proofErr w:type="spellStart"/>
      <w:r w:rsidRPr="00FC6B33">
        <w:rPr>
          <w:lang w:val="en-GB"/>
        </w:rPr>
        <w:t>StandardLand</w:t>
      </w:r>
      <w:proofErr w:type="spellEnd"/>
      <w:r w:rsidRPr="00FC6B33">
        <w:rPr>
          <w:lang w:val="en-GB"/>
        </w:rPr>
        <w:t xml:space="preserve"> website (</w:t>
      </w:r>
      <w:hyperlink r:id="rId10">
        <w:r w:rsidRPr="00FC6B33">
          <w:rPr>
            <w:rStyle w:val="Internetovodkaz"/>
            <w:i/>
            <w:iCs/>
            <w:lang w:val="en-GB"/>
          </w:rPr>
          <w:t>www.standardland.cz</w:t>
        </w:r>
      </w:hyperlink>
      <w:r w:rsidRPr="00FC6B33">
        <w:rPr>
          <w:lang w:val="en-GB"/>
        </w:rPr>
        <w:t>) or the OBP platform (</w:t>
      </w:r>
      <w:hyperlink r:id="rId11">
        <w:r w:rsidRPr="00FC6B33">
          <w:rPr>
            <w:rStyle w:val="Internetovodkaz"/>
            <w:i/>
            <w:iCs/>
            <w:lang w:val="en-GB"/>
          </w:rPr>
          <w:t>www.iso.org/obp</w:t>
        </w:r>
      </w:hyperlink>
      <w:r w:rsidRPr="00FC6B33">
        <w:rPr>
          <w:rStyle w:val="Internetovodkaz"/>
          <w:i/>
          <w:iCs/>
          <w:color w:val="000000"/>
          <w:lang w:val="en-GB"/>
        </w:rPr>
        <w:t>).</w:t>
      </w:r>
    </w:p>
    <w:p w14:paraId="635C8577" w14:textId="470433D2" w:rsidR="00BE3749" w:rsidRPr="006371CB" w:rsidRDefault="003C3C69" w:rsidP="009E2A98">
      <w:pPr>
        <w:pStyle w:val="Nadpis1"/>
      </w:pPr>
      <w:r>
        <w:t>5</w:t>
      </w:r>
      <w:r w:rsidRPr="00877AB7">
        <w:t> </w:t>
      </w:r>
      <w:r w:rsidR="00333B67" w:rsidRPr="00333B67">
        <w:t xml:space="preserve"> Architectural </w:t>
      </w:r>
      <w:r w:rsidR="008915E8">
        <w:t>concepts and i</w:t>
      </w:r>
      <w:r w:rsidR="00333B67" w:rsidRPr="00333B67">
        <w:t xml:space="preserve">nformation </w:t>
      </w:r>
      <w:r w:rsidR="008915E8">
        <w:t>e</w:t>
      </w:r>
      <w:r w:rsidR="00333B67" w:rsidRPr="00333B67">
        <w:t>xchanges</w:t>
      </w:r>
    </w:p>
    <w:p w14:paraId="0F77F5CD" w14:textId="77777777" w:rsidR="00333B67" w:rsidRPr="00333B67" w:rsidRDefault="00333B67" w:rsidP="00333B67">
      <w:pPr>
        <w:rPr>
          <w:lang w:val="en-GB"/>
        </w:rPr>
      </w:pPr>
      <w:r w:rsidRPr="00333B67">
        <w:rPr>
          <w:lang w:val="en-GB"/>
        </w:rPr>
        <w:t>This clause, spanning 10 pages, contains a basic description of the interface functionalities for the exchange of data messages between the toll charger and the toll service provider. The architecture is based on the reference architecture defined in ISO 17573-1 and specifies the information exchanges between the two back-office roles. The following functionalities are described:</w:t>
      </w:r>
    </w:p>
    <w:p w14:paraId="081D7BCA" w14:textId="77777777" w:rsidR="00333B67" w:rsidRPr="00333B67" w:rsidRDefault="00333B67" w:rsidP="005E4A05">
      <w:pPr>
        <w:spacing w:after="60" w:line="240" w:lineRule="auto"/>
        <w:rPr>
          <w:lang w:val="en-GB"/>
        </w:rPr>
      </w:pPr>
      <w:r w:rsidRPr="00333B67">
        <w:rPr>
          <w:lang w:val="en-GB"/>
        </w:rPr>
        <w:t>•</w:t>
      </w:r>
      <w:r w:rsidRPr="00333B67">
        <w:rPr>
          <w:lang w:val="en-GB"/>
        </w:rPr>
        <w:tab/>
      </w:r>
      <w:proofErr w:type="gramStart"/>
      <w:r w:rsidRPr="00333B67">
        <w:rPr>
          <w:lang w:val="en-GB"/>
        </w:rPr>
        <w:t>exchange</w:t>
      </w:r>
      <w:proofErr w:type="gramEnd"/>
      <w:r w:rsidRPr="00333B67">
        <w:rPr>
          <w:lang w:val="en-GB"/>
        </w:rPr>
        <w:t xml:space="preserve"> of trust objects;</w:t>
      </w:r>
    </w:p>
    <w:p w14:paraId="6E229E57" w14:textId="77777777" w:rsidR="00333B67" w:rsidRPr="00333B67" w:rsidRDefault="00333B67" w:rsidP="005E4A05">
      <w:pPr>
        <w:spacing w:after="60" w:line="240" w:lineRule="auto"/>
        <w:rPr>
          <w:lang w:val="en-GB"/>
        </w:rPr>
      </w:pPr>
      <w:r w:rsidRPr="00333B67">
        <w:rPr>
          <w:lang w:val="en-GB"/>
        </w:rPr>
        <w:t>•</w:t>
      </w:r>
      <w:r w:rsidRPr="00333B67">
        <w:rPr>
          <w:lang w:val="en-GB"/>
        </w:rPr>
        <w:tab/>
      </w:r>
      <w:proofErr w:type="gramStart"/>
      <w:r w:rsidRPr="00333B67">
        <w:rPr>
          <w:lang w:val="en-GB"/>
        </w:rPr>
        <w:t>provision</w:t>
      </w:r>
      <w:proofErr w:type="gramEnd"/>
      <w:r w:rsidRPr="00333B67">
        <w:rPr>
          <w:lang w:val="en-GB"/>
        </w:rPr>
        <w:t xml:space="preserve"> of EFC context data;</w:t>
      </w:r>
    </w:p>
    <w:p w14:paraId="41216505" w14:textId="77777777" w:rsidR="00333B67" w:rsidRPr="00333B67" w:rsidRDefault="00333B67" w:rsidP="005E4A05">
      <w:pPr>
        <w:spacing w:after="60" w:line="240" w:lineRule="auto"/>
        <w:rPr>
          <w:lang w:val="en-GB"/>
        </w:rPr>
      </w:pPr>
      <w:r w:rsidRPr="00333B67">
        <w:rPr>
          <w:lang w:val="en-GB"/>
        </w:rPr>
        <w:t>•</w:t>
      </w:r>
      <w:r w:rsidRPr="00333B67">
        <w:rPr>
          <w:lang w:val="en-GB"/>
        </w:rPr>
        <w:tab/>
      </w:r>
      <w:proofErr w:type="gramStart"/>
      <w:r w:rsidRPr="00333B67">
        <w:rPr>
          <w:lang w:val="en-GB"/>
        </w:rPr>
        <w:t>management</w:t>
      </w:r>
      <w:proofErr w:type="gramEnd"/>
      <w:r w:rsidRPr="00333B67">
        <w:rPr>
          <w:lang w:val="en-GB"/>
        </w:rPr>
        <w:t xml:space="preserve"> of exception lists;</w:t>
      </w:r>
    </w:p>
    <w:p w14:paraId="392D3C92" w14:textId="77777777" w:rsidR="00333B67" w:rsidRPr="00333B67" w:rsidRDefault="00333B67" w:rsidP="005E4A05">
      <w:pPr>
        <w:spacing w:after="60" w:line="240" w:lineRule="auto"/>
        <w:rPr>
          <w:lang w:val="en-GB"/>
        </w:rPr>
      </w:pPr>
      <w:r w:rsidRPr="00333B67">
        <w:rPr>
          <w:lang w:val="en-GB"/>
        </w:rPr>
        <w:t>•</w:t>
      </w:r>
      <w:r w:rsidRPr="00333B67">
        <w:rPr>
          <w:lang w:val="en-GB"/>
        </w:rPr>
        <w:tab/>
        <w:t xml:space="preserve">reporting of abnormal </w:t>
      </w:r>
      <w:proofErr w:type="spellStart"/>
      <w:r w:rsidRPr="00333B67">
        <w:rPr>
          <w:lang w:val="en-GB"/>
        </w:rPr>
        <w:t>behavior</w:t>
      </w:r>
      <w:proofErr w:type="spellEnd"/>
      <w:r w:rsidRPr="00333B67">
        <w:rPr>
          <w:lang w:val="en-GB"/>
        </w:rPr>
        <w:t>;</w:t>
      </w:r>
    </w:p>
    <w:p w14:paraId="17797905" w14:textId="77777777" w:rsidR="00333B67" w:rsidRPr="00333B67" w:rsidRDefault="00333B67" w:rsidP="005E4A05">
      <w:pPr>
        <w:spacing w:after="60" w:line="240" w:lineRule="auto"/>
        <w:rPr>
          <w:lang w:val="en-GB"/>
        </w:rPr>
      </w:pPr>
      <w:r w:rsidRPr="00333B67">
        <w:rPr>
          <w:lang w:val="en-GB"/>
        </w:rPr>
        <w:t>•</w:t>
      </w:r>
      <w:r w:rsidRPr="00333B67">
        <w:rPr>
          <w:lang w:val="en-GB"/>
        </w:rPr>
        <w:tab/>
        <w:t>reporting of toll declarations;</w:t>
      </w:r>
    </w:p>
    <w:p w14:paraId="2A246F56" w14:textId="77777777" w:rsidR="00333B67" w:rsidRPr="00333B67" w:rsidRDefault="00333B67" w:rsidP="005E4A05">
      <w:pPr>
        <w:spacing w:after="60" w:line="240" w:lineRule="auto"/>
        <w:rPr>
          <w:lang w:val="en-GB"/>
        </w:rPr>
      </w:pPr>
      <w:r w:rsidRPr="00333B67">
        <w:rPr>
          <w:lang w:val="en-GB"/>
        </w:rPr>
        <w:t>•</w:t>
      </w:r>
      <w:r w:rsidRPr="00333B67">
        <w:rPr>
          <w:lang w:val="en-GB"/>
        </w:rPr>
        <w:tab/>
        <w:t>reporting of billing details;</w:t>
      </w:r>
    </w:p>
    <w:p w14:paraId="52D00AC3" w14:textId="77777777" w:rsidR="00333B67" w:rsidRPr="00333B67" w:rsidRDefault="00333B67" w:rsidP="005E4A05">
      <w:pPr>
        <w:spacing w:after="60" w:line="240" w:lineRule="auto"/>
        <w:rPr>
          <w:lang w:val="en-GB"/>
        </w:rPr>
      </w:pPr>
      <w:r w:rsidRPr="00333B67">
        <w:rPr>
          <w:lang w:val="en-GB"/>
        </w:rPr>
        <w:t>•</w:t>
      </w:r>
      <w:r w:rsidRPr="00333B67">
        <w:rPr>
          <w:lang w:val="en-GB"/>
        </w:rPr>
        <w:tab/>
        <w:t>reporting of payment claims;</w:t>
      </w:r>
    </w:p>
    <w:p w14:paraId="1239B07C" w14:textId="77777777" w:rsidR="00333B67" w:rsidRPr="00333B67" w:rsidRDefault="00333B67" w:rsidP="005E4A05">
      <w:pPr>
        <w:spacing w:after="60" w:line="240" w:lineRule="auto"/>
        <w:rPr>
          <w:lang w:val="en-GB"/>
        </w:rPr>
      </w:pPr>
      <w:r w:rsidRPr="00333B67">
        <w:rPr>
          <w:lang w:val="en-GB"/>
        </w:rPr>
        <w:t>•</w:t>
      </w:r>
      <w:r w:rsidRPr="00333B67">
        <w:rPr>
          <w:lang w:val="en-GB"/>
        </w:rPr>
        <w:tab/>
      </w:r>
      <w:proofErr w:type="gramStart"/>
      <w:r w:rsidRPr="00333B67">
        <w:rPr>
          <w:lang w:val="en-GB"/>
        </w:rPr>
        <w:t>exchange</w:t>
      </w:r>
      <w:proofErr w:type="gramEnd"/>
      <w:r w:rsidRPr="00333B67">
        <w:rPr>
          <w:lang w:val="en-GB"/>
        </w:rPr>
        <w:t xml:space="preserve"> of quality assurance parameters;</w:t>
      </w:r>
    </w:p>
    <w:p w14:paraId="4A345020" w14:textId="77777777" w:rsidR="00333B67" w:rsidRPr="00333B67" w:rsidRDefault="00333B67" w:rsidP="005E4A05">
      <w:pPr>
        <w:spacing w:after="60" w:line="240" w:lineRule="auto"/>
        <w:rPr>
          <w:lang w:val="en-GB"/>
        </w:rPr>
      </w:pPr>
      <w:r w:rsidRPr="00333B67">
        <w:rPr>
          <w:lang w:val="en-GB"/>
        </w:rPr>
        <w:t>•</w:t>
      </w:r>
      <w:r w:rsidRPr="00333B67">
        <w:rPr>
          <w:lang w:val="en-GB"/>
        </w:rPr>
        <w:tab/>
        <w:t>reporting of CCC events;</w:t>
      </w:r>
    </w:p>
    <w:p w14:paraId="53F2B59D" w14:textId="77777777" w:rsidR="00333B67" w:rsidRPr="00333B67" w:rsidRDefault="00333B67" w:rsidP="005E4A05">
      <w:pPr>
        <w:spacing w:after="60" w:line="240" w:lineRule="auto"/>
        <w:rPr>
          <w:lang w:val="en-GB"/>
        </w:rPr>
      </w:pPr>
      <w:r w:rsidRPr="00333B67">
        <w:rPr>
          <w:lang w:val="en-GB"/>
        </w:rPr>
        <w:t>•</w:t>
      </w:r>
      <w:r w:rsidRPr="00333B67">
        <w:rPr>
          <w:lang w:val="en-GB"/>
        </w:rPr>
        <w:tab/>
      </w:r>
      <w:proofErr w:type="gramStart"/>
      <w:r w:rsidRPr="00333B67">
        <w:rPr>
          <w:lang w:val="en-GB"/>
        </w:rPr>
        <w:t>provision</w:t>
      </w:r>
      <w:proofErr w:type="gramEnd"/>
      <w:r w:rsidRPr="00333B67">
        <w:rPr>
          <w:lang w:val="en-GB"/>
        </w:rPr>
        <w:t xml:space="preserve"> of user details and user lists;</w:t>
      </w:r>
    </w:p>
    <w:p w14:paraId="212E27A5" w14:textId="77777777" w:rsidR="00333B67" w:rsidRPr="00333B67" w:rsidRDefault="00333B67" w:rsidP="005E4A05">
      <w:pPr>
        <w:spacing w:after="60" w:line="240" w:lineRule="auto"/>
        <w:rPr>
          <w:lang w:val="en-GB"/>
        </w:rPr>
      </w:pPr>
      <w:r w:rsidRPr="00333B67">
        <w:rPr>
          <w:lang w:val="en-GB"/>
        </w:rPr>
        <w:t>•</w:t>
      </w:r>
      <w:r w:rsidRPr="00333B67">
        <w:rPr>
          <w:lang w:val="en-GB"/>
        </w:rPr>
        <w:tab/>
        <w:t>reporting of payment announcements;</w:t>
      </w:r>
    </w:p>
    <w:p w14:paraId="02B3B618" w14:textId="77777777" w:rsidR="00333B67" w:rsidRPr="00333B67" w:rsidRDefault="00333B67" w:rsidP="005E4A05">
      <w:pPr>
        <w:spacing w:after="60" w:line="240" w:lineRule="auto"/>
        <w:rPr>
          <w:lang w:val="en-GB"/>
        </w:rPr>
      </w:pPr>
      <w:r w:rsidRPr="00333B67">
        <w:rPr>
          <w:lang w:val="en-GB"/>
        </w:rPr>
        <w:t>•</w:t>
      </w:r>
      <w:r w:rsidRPr="00333B67">
        <w:rPr>
          <w:lang w:val="en-GB"/>
        </w:rPr>
        <w:tab/>
      </w:r>
      <w:proofErr w:type="gramStart"/>
      <w:r w:rsidRPr="00333B67">
        <w:rPr>
          <w:lang w:val="en-GB"/>
        </w:rPr>
        <w:t>provision</w:t>
      </w:r>
      <w:proofErr w:type="gramEnd"/>
      <w:r w:rsidRPr="00333B67">
        <w:rPr>
          <w:lang w:val="en-GB"/>
        </w:rPr>
        <w:t xml:space="preserve"> of contract issuer information;</w:t>
      </w:r>
    </w:p>
    <w:p w14:paraId="435D5F54" w14:textId="77777777" w:rsidR="00333B67" w:rsidRPr="00333B67" w:rsidRDefault="00333B67" w:rsidP="005E4A05">
      <w:pPr>
        <w:spacing w:after="60" w:line="240" w:lineRule="auto"/>
        <w:rPr>
          <w:lang w:val="en-GB"/>
        </w:rPr>
      </w:pPr>
      <w:r w:rsidRPr="00333B67">
        <w:rPr>
          <w:lang w:val="en-GB"/>
        </w:rPr>
        <w:t>•</w:t>
      </w:r>
      <w:r w:rsidRPr="00333B67">
        <w:rPr>
          <w:lang w:val="en-GB"/>
        </w:rPr>
        <w:tab/>
        <w:t>processing of user complaints;</w:t>
      </w:r>
    </w:p>
    <w:p w14:paraId="701F0496" w14:textId="77777777" w:rsidR="00333B67" w:rsidRPr="00333B67" w:rsidRDefault="00333B67" w:rsidP="005E4A05">
      <w:pPr>
        <w:spacing w:after="60" w:line="240" w:lineRule="auto"/>
        <w:rPr>
          <w:lang w:val="en-GB"/>
        </w:rPr>
      </w:pPr>
      <w:r w:rsidRPr="00333B67">
        <w:rPr>
          <w:lang w:val="en-GB"/>
        </w:rPr>
        <w:t>•</w:t>
      </w:r>
      <w:r w:rsidRPr="00333B67">
        <w:rPr>
          <w:lang w:val="en-GB"/>
        </w:rPr>
        <w:tab/>
      </w:r>
      <w:proofErr w:type="gramStart"/>
      <w:r w:rsidRPr="00333B67">
        <w:rPr>
          <w:lang w:val="en-GB"/>
        </w:rPr>
        <w:t>provision</w:t>
      </w:r>
      <w:proofErr w:type="gramEnd"/>
      <w:r w:rsidRPr="00333B67">
        <w:rPr>
          <w:lang w:val="en-GB"/>
        </w:rPr>
        <w:t xml:space="preserve"> of media settlement data;</w:t>
      </w:r>
    </w:p>
    <w:p w14:paraId="43B00CF4" w14:textId="3762C026" w:rsidR="00751F81" w:rsidRDefault="00333B67" w:rsidP="005E4A05">
      <w:pPr>
        <w:spacing w:after="60" w:line="240" w:lineRule="auto"/>
        <w:rPr>
          <w:lang w:val="en-GB"/>
        </w:rPr>
      </w:pPr>
      <w:r w:rsidRPr="00333B67">
        <w:rPr>
          <w:lang w:val="en-GB"/>
        </w:rPr>
        <w:t>•</w:t>
      </w:r>
      <w:r w:rsidRPr="00333B67">
        <w:rPr>
          <w:lang w:val="en-GB"/>
        </w:rPr>
        <w:tab/>
        <w:t>reporting of enforcement status.</w:t>
      </w:r>
    </w:p>
    <w:p w14:paraId="5C12E5D1" w14:textId="77777777" w:rsidR="00333B67" w:rsidRPr="008A26FC" w:rsidRDefault="00333B67" w:rsidP="00333B67">
      <w:pPr>
        <w:keepNext/>
        <w:jc w:val="center"/>
        <w:rPr>
          <w:lang w:val="en-US"/>
        </w:rPr>
      </w:pPr>
      <w:r w:rsidRPr="00CD3AC2">
        <w:rPr>
          <w:noProof/>
        </w:rPr>
        <w:drawing>
          <wp:inline distT="0" distB="0" distL="0" distR="0" wp14:anchorId="24CE96BA" wp14:editId="27BFADA7">
            <wp:extent cx="5865514" cy="3037840"/>
            <wp:effectExtent l="0" t="0" r="1905" b="0"/>
            <wp:docPr id="1374938156" name="Picture 1" descr="The image depicts a flowchart or diagram illustrating the components and processes involved in a toll service system, including service providers, protocols, data elements, and various operational aspects such as payment, quality assurance, and user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38156" name="Picture 1" descr="The image depicts a flowchart or diagram illustrating the components and processes involved in a toll service system, including service providers, protocols, data elements, and various operational aspects such as payment, quality assurance, and user management.&#10;&#10;AI-generated content may be incorrect."/>
                    <pic:cNvPicPr/>
                  </pic:nvPicPr>
                  <pic:blipFill>
                    <a:blip r:embed="rId12"/>
                    <a:stretch>
                      <a:fillRect/>
                    </a:stretch>
                  </pic:blipFill>
                  <pic:spPr>
                    <a:xfrm>
                      <a:off x="0" y="0"/>
                      <a:ext cx="5883484" cy="3047147"/>
                    </a:xfrm>
                    <a:prstGeom prst="rect">
                      <a:avLst/>
                    </a:prstGeom>
                  </pic:spPr>
                </pic:pic>
              </a:graphicData>
            </a:graphic>
          </wp:inline>
        </w:drawing>
      </w:r>
    </w:p>
    <w:p w14:paraId="5C0772DE" w14:textId="77777777" w:rsidR="00333B67" w:rsidRPr="00891AF0" w:rsidRDefault="00333B67" w:rsidP="00891AF0">
      <w:pPr>
        <w:jc w:val="center"/>
        <w:rPr>
          <w:b/>
          <w:bCs/>
          <w:lang w:val="en-GB"/>
        </w:rPr>
      </w:pPr>
      <w:r w:rsidRPr="00891AF0">
        <w:rPr>
          <w:b/>
          <w:bCs/>
          <w:lang w:val="en-GB"/>
        </w:rPr>
        <w:t xml:space="preserve">Figure </w:t>
      </w:r>
      <w:r w:rsidRPr="00891AF0">
        <w:rPr>
          <w:b/>
          <w:bCs/>
          <w:lang w:val="en-GB"/>
        </w:rPr>
        <w:fldChar w:fldCharType="begin"/>
      </w:r>
      <w:r w:rsidRPr="00891AF0">
        <w:rPr>
          <w:b/>
          <w:bCs/>
          <w:lang w:val="en-GB"/>
        </w:rPr>
        <w:instrText xml:space="preserve"> SEQ Obrázek \* ARABIC </w:instrText>
      </w:r>
      <w:r w:rsidRPr="00891AF0">
        <w:rPr>
          <w:b/>
          <w:bCs/>
          <w:lang w:val="en-GB"/>
        </w:rPr>
        <w:fldChar w:fldCharType="separate"/>
      </w:r>
      <w:r w:rsidRPr="00891AF0">
        <w:rPr>
          <w:b/>
          <w:bCs/>
          <w:lang w:val="en-GB"/>
        </w:rPr>
        <w:t>1</w:t>
      </w:r>
      <w:r w:rsidRPr="00891AF0">
        <w:rPr>
          <w:b/>
          <w:bCs/>
          <w:lang w:val="en-GB"/>
        </w:rPr>
        <w:fldChar w:fldCharType="end"/>
      </w:r>
      <w:r w:rsidRPr="00891AF0">
        <w:rPr>
          <w:b/>
          <w:bCs/>
          <w:lang w:val="en-GB"/>
        </w:rPr>
        <w:t xml:space="preserve"> – Overview of functionalities (Fig. 3 of the source standard)</w:t>
      </w:r>
    </w:p>
    <w:p w14:paraId="635C857C" w14:textId="1BD7005D" w:rsidR="00BE3749" w:rsidRPr="006371CB" w:rsidRDefault="003C3C69" w:rsidP="009E2A98">
      <w:pPr>
        <w:pStyle w:val="Nadpis1"/>
        <w:rPr>
          <w:color w:val="000000"/>
        </w:rPr>
      </w:pPr>
      <w:r>
        <w:lastRenderedPageBreak/>
        <w:t>6</w:t>
      </w:r>
      <w:r w:rsidRPr="00877AB7">
        <w:t> </w:t>
      </w:r>
      <w:r w:rsidR="00891AF0" w:rsidRPr="00891AF0">
        <w:t xml:space="preserve"> </w:t>
      </w:r>
      <w:r w:rsidR="008915E8">
        <w:t>Computational s</w:t>
      </w:r>
      <w:r w:rsidR="00891AF0" w:rsidRPr="00891AF0">
        <w:t>pecification</w:t>
      </w:r>
    </w:p>
    <w:p w14:paraId="162CA512" w14:textId="29AABB53" w:rsidR="00891AF0" w:rsidRDefault="00891AF0" w:rsidP="00891AF0">
      <w:r w:rsidRPr="00891AF0">
        <w:t xml:space="preserve">This clause, spanning 256 pages, contains a description of the structure of 19 application data units (ADUs) that form the </w:t>
      </w:r>
      <w:r w:rsidRPr="00891AF0">
        <w:rPr>
          <w:bCs/>
          <w:lang w:val="en-GB"/>
        </w:rPr>
        <w:t>data</w:t>
      </w:r>
      <w:r w:rsidRPr="00891AF0">
        <w:t xml:space="preserve"> messages transmitted via the interface. This is the pivotal clause of the described document. The ADUs listed in </w:t>
      </w:r>
      <w:proofErr w:type="spellStart"/>
      <w:r w:rsidRPr="00891AF0">
        <w:t>the</w:t>
      </w:r>
      <w:proofErr w:type="spellEnd"/>
      <w:r w:rsidRPr="00891AF0">
        <w:t xml:space="preserve"> table </w:t>
      </w:r>
      <w:proofErr w:type="spellStart"/>
      <w:r w:rsidRPr="00891AF0">
        <w:t>below</w:t>
      </w:r>
      <w:proofErr w:type="spellEnd"/>
      <w:r w:rsidRPr="00891AF0">
        <w:t xml:space="preserve"> are </w:t>
      </w:r>
      <w:proofErr w:type="spellStart"/>
      <w:r w:rsidRPr="00891AF0">
        <w:t>defined</w:t>
      </w:r>
      <w:proofErr w:type="spellEnd"/>
      <w:r w:rsidRPr="00891AF0">
        <w:t xml:space="preserve"> </w:t>
      </w:r>
      <w:proofErr w:type="spellStart"/>
      <w:r w:rsidRPr="00891AF0">
        <w:t>sequentially</w:t>
      </w:r>
      <w:proofErr w:type="spellEnd"/>
      <w:r w:rsidRPr="00891AF0">
        <w:t>.</w:t>
      </w:r>
    </w:p>
    <w:p w14:paraId="15E11E78" w14:textId="77777777" w:rsidR="008915E8" w:rsidRDefault="008915E8" w:rsidP="00891AF0"/>
    <w:p w14:paraId="37F57B2B" w14:textId="56A514C8" w:rsidR="00891AF0" w:rsidRDefault="00891AF0" w:rsidP="00891AF0">
      <w:pPr>
        <w:pStyle w:val="Titulek"/>
        <w:jc w:val="center"/>
        <w:rPr>
          <w:lang w:val="en-US"/>
        </w:rPr>
      </w:pPr>
      <w:r w:rsidRPr="008A26FC">
        <w:rPr>
          <w:lang w:val="en-US"/>
        </w:rPr>
        <w:t xml:space="preserve">Table </w:t>
      </w:r>
      <w:r w:rsidRPr="008A26FC">
        <w:rPr>
          <w:lang w:val="en-US"/>
        </w:rPr>
        <w:fldChar w:fldCharType="begin"/>
      </w:r>
      <w:r w:rsidRPr="008A26FC">
        <w:rPr>
          <w:lang w:val="en-US"/>
        </w:rPr>
        <w:instrText xml:space="preserve"> SEQ Tabulka \* ARABIC </w:instrText>
      </w:r>
      <w:r w:rsidRPr="008A26FC">
        <w:rPr>
          <w:lang w:val="en-US"/>
        </w:rPr>
        <w:fldChar w:fldCharType="separate"/>
      </w:r>
      <w:r w:rsidRPr="008A26FC">
        <w:rPr>
          <w:noProof/>
          <w:lang w:val="en-US"/>
        </w:rPr>
        <w:t>1</w:t>
      </w:r>
      <w:r w:rsidRPr="008A26FC">
        <w:rPr>
          <w:noProof/>
          <w:lang w:val="en-US"/>
        </w:rPr>
        <w:fldChar w:fldCharType="end"/>
      </w:r>
      <w:r w:rsidRPr="008A26FC">
        <w:rPr>
          <w:lang w:val="en-US"/>
        </w:rPr>
        <w:t xml:space="preserve"> – Overview of ADUs (Tab. </w:t>
      </w:r>
      <w:r>
        <w:rPr>
          <w:lang w:val="en-US"/>
        </w:rPr>
        <w:t>8</w:t>
      </w:r>
      <w:r w:rsidRPr="008A26FC">
        <w:rPr>
          <w:lang w:val="en-US"/>
        </w:rPr>
        <w:t xml:space="preserve"> of the source standard)</w:t>
      </w:r>
    </w:p>
    <w:p w14:paraId="38A577A6" w14:textId="0F73415B" w:rsidR="00891AF0" w:rsidRPr="00891AF0" w:rsidRDefault="00891AF0" w:rsidP="00891AF0">
      <w:pPr>
        <w:jc w:val="center"/>
        <w:rPr>
          <w:b/>
          <w:lang w:val="en-US"/>
        </w:rPr>
      </w:pPr>
      <w:r w:rsidRPr="00C44946">
        <w:rPr>
          <w:noProof/>
        </w:rPr>
        <w:drawing>
          <wp:inline distT="0" distB="0" distL="0" distR="0" wp14:anchorId="56B7F32C" wp14:editId="2D0003A7">
            <wp:extent cx="6370370" cy="5576552"/>
            <wp:effectExtent l="0" t="0" r="0" b="5715"/>
            <wp:docPr id="2118221274" name="Picture 1" descr="The image is a table that lists various ADU (Application Data Unit) types used in telecommunications, detailing their functions and descriptions, such as requesting data, acknowledging receipt, managing exception lists, and reporting billing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21274" name="Picture 1" descr="The image is a table that lists various ADU (Application Data Unit) types used in telecommunications, detailing their functions and descriptions, such as requesting data, acknowledging receipt, managing exception lists, and reporting billing detail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410669" cy="5611829"/>
                    </a:xfrm>
                    <a:prstGeom prst="rect">
                      <a:avLst/>
                    </a:prstGeom>
                  </pic:spPr>
                </pic:pic>
              </a:graphicData>
            </a:graphic>
          </wp:inline>
        </w:drawing>
      </w:r>
    </w:p>
    <w:p w14:paraId="4DBFB02B" w14:textId="2D4616F4" w:rsidR="0032189C" w:rsidRPr="005E4A05" w:rsidRDefault="0032189C" w:rsidP="0032189C">
      <w:pPr>
        <w:pStyle w:val="Titulek"/>
        <w:jc w:val="center"/>
        <w:rPr>
          <w:i/>
          <w:lang w:val="en-US"/>
        </w:rPr>
      </w:pPr>
      <w:r w:rsidRPr="008A26FC">
        <w:rPr>
          <w:lang w:val="en-US"/>
        </w:rPr>
        <w:t xml:space="preserve">Table </w:t>
      </w:r>
      <w:r>
        <w:rPr>
          <w:lang w:val="en-US"/>
        </w:rPr>
        <w:t>1</w:t>
      </w:r>
      <w:r w:rsidRPr="008A26FC">
        <w:rPr>
          <w:lang w:val="en-US"/>
        </w:rPr>
        <w:t xml:space="preserve"> – </w:t>
      </w:r>
      <w:r w:rsidR="005E4A05">
        <w:rPr>
          <w:i/>
          <w:lang w:val="en-US"/>
        </w:rPr>
        <w:t>(continued)</w:t>
      </w:r>
    </w:p>
    <w:p w14:paraId="62E42A7B" w14:textId="4B4AC1E4" w:rsidR="00891AF0" w:rsidRPr="008A26FC" w:rsidRDefault="00891AF0" w:rsidP="00891AF0">
      <w:pPr>
        <w:pStyle w:val="Textnormy"/>
        <w:keepNext/>
        <w:jc w:val="center"/>
        <w:rPr>
          <w:lang w:val="en-US"/>
        </w:rPr>
      </w:pPr>
      <w:r w:rsidRPr="00C44946">
        <w:rPr>
          <w:noProof/>
        </w:rPr>
        <w:drawing>
          <wp:inline distT="0" distB="0" distL="0" distR="0" wp14:anchorId="27F5F347" wp14:editId="0D7ACD07">
            <wp:extent cx="6372399" cy="1442434"/>
            <wp:effectExtent l="0" t="0" r="0" b="5715"/>
            <wp:docPr id="990913689" name="Picture 1" descr="The image displays a table with various user complaints and their corresponding responses, including handling of user complaints, media settlement, and enforcement status, between two systems: TSP and T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13689" name="Picture 1" descr="The image displays a table with various user complaints and their corresponding responses, including handling of user complaints, media settlement, and enforcement status, between two systems: TSP and TC.&#10;&#10;AI-generated content may be incorrect."/>
                    <pic:cNvPicPr/>
                  </pic:nvPicPr>
                  <pic:blipFill>
                    <a:blip r:embed="rId14"/>
                    <a:stretch>
                      <a:fillRect/>
                    </a:stretch>
                  </pic:blipFill>
                  <pic:spPr>
                    <a:xfrm>
                      <a:off x="0" y="0"/>
                      <a:ext cx="6475933" cy="1465870"/>
                    </a:xfrm>
                    <a:prstGeom prst="rect">
                      <a:avLst/>
                    </a:prstGeom>
                  </pic:spPr>
                </pic:pic>
              </a:graphicData>
            </a:graphic>
          </wp:inline>
        </w:drawing>
      </w:r>
    </w:p>
    <w:p w14:paraId="0DA1CB50" w14:textId="77777777" w:rsidR="00891AF0" w:rsidRDefault="00891AF0" w:rsidP="00891AF0">
      <w:pPr>
        <w:rPr>
          <w:lang w:val="en-US"/>
        </w:rPr>
      </w:pPr>
    </w:p>
    <w:p w14:paraId="35B6B4CE" w14:textId="77777777" w:rsidR="005E4A05" w:rsidRDefault="005E4A05" w:rsidP="00891AF0">
      <w:pPr>
        <w:rPr>
          <w:lang w:val="en-US"/>
        </w:rPr>
      </w:pPr>
    </w:p>
    <w:p w14:paraId="13017A7B" w14:textId="2B636B51" w:rsidR="00891AF0" w:rsidRDefault="00891AF0" w:rsidP="00891AF0">
      <w:pPr>
        <w:rPr>
          <w:lang w:val="en-US"/>
        </w:rPr>
      </w:pPr>
      <w:r w:rsidRPr="008A26FC">
        <w:rPr>
          <w:lang w:val="en-US"/>
        </w:rPr>
        <w:lastRenderedPageBreak/>
        <w:t xml:space="preserve">For illustration, the definition of the </w:t>
      </w:r>
      <w:proofErr w:type="spellStart"/>
      <w:r w:rsidRPr="008A26FC">
        <w:rPr>
          <w:lang w:val="en-US"/>
        </w:rPr>
        <w:t>ExceptionListADU</w:t>
      </w:r>
      <w:proofErr w:type="spellEnd"/>
      <w:r w:rsidRPr="008A26FC">
        <w:rPr>
          <w:lang w:val="en-US"/>
        </w:rPr>
        <w:t xml:space="preserve"> data unit is provided below.</w:t>
      </w:r>
    </w:p>
    <w:p w14:paraId="599933D7" w14:textId="5F03980C" w:rsidR="0032189C" w:rsidRDefault="005E4A05" w:rsidP="0032189C">
      <w:pPr>
        <w:pStyle w:val="Titulek"/>
        <w:jc w:val="center"/>
        <w:rPr>
          <w:lang w:val="en-US"/>
        </w:rPr>
      </w:pPr>
      <w:r>
        <w:rPr>
          <w:lang w:val="en-US"/>
        </w:rPr>
        <w:t>Table 2</w:t>
      </w:r>
      <w:r w:rsidR="0032189C" w:rsidRPr="008A26FC">
        <w:rPr>
          <w:lang w:val="en-US"/>
        </w:rPr>
        <w:t xml:space="preserve"> – </w:t>
      </w:r>
      <w:r w:rsidR="007F3473">
        <w:rPr>
          <w:lang w:val="en-US"/>
        </w:rPr>
        <w:t xml:space="preserve">Data elements </w:t>
      </w:r>
      <w:r w:rsidR="0032189C" w:rsidRPr="008A26FC">
        <w:rPr>
          <w:lang w:val="en-US"/>
        </w:rPr>
        <w:t xml:space="preserve">of </w:t>
      </w:r>
      <w:proofErr w:type="spellStart"/>
      <w:r w:rsidR="0032189C" w:rsidRPr="008A26FC">
        <w:rPr>
          <w:lang w:val="en-US"/>
        </w:rPr>
        <w:t>ExceptionListADU</w:t>
      </w:r>
      <w:proofErr w:type="spellEnd"/>
      <w:r w:rsidR="0032189C" w:rsidRPr="008A26FC">
        <w:rPr>
          <w:lang w:val="en-US"/>
        </w:rPr>
        <w:t xml:space="preserve"> (Tab. </w:t>
      </w:r>
      <w:r w:rsidR="0032189C">
        <w:rPr>
          <w:lang w:val="en-US"/>
        </w:rPr>
        <w:t>217</w:t>
      </w:r>
      <w:r w:rsidR="0032189C" w:rsidRPr="008A26FC">
        <w:rPr>
          <w:lang w:val="en-US"/>
        </w:rPr>
        <w:t xml:space="preserve"> of the source standard)</w:t>
      </w:r>
    </w:p>
    <w:p w14:paraId="1F6C6644" w14:textId="208BDC9E" w:rsidR="00891AF0" w:rsidRDefault="00891AF0" w:rsidP="00891AF0">
      <w:pPr>
        <w:keepNext/>
        <w:jc w:val="center"/>
        <w:rPr>
          <w:lang w:val="en-US"/>
        </w:rPr>
      </w:pPr>
      <w:r w:rsidRPr="000449C4">
        <w:rPr>
          <w:noProof/>
        </w:rPr>
        <w:drawing>
          <wp:inline distT="0" distB="0" distL="0" distR="0" wp14:anchorId="2F821AC0" wp14:editId="0A6140DE">
            <wp:extent cx="6282941" cy="4039032"/>
            <wp:effectExtent l="0" t="0" r="3810" b="0"/>
            <wp:docPr id="704715060" name="Picture 1" descr="The image is a data dictionary or schema detailing various attributes of an exception list, such as unique identifier (aduIdentifier), version number (exceptionListVersion), type (exceptionListType), and validity period (exceptionValidityStart and exceptionValidity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15060" name="Picture 1" descr="The image is a data dictionary or schema detailing various attributes of an exception list, such as unique identifier (aduIdentifier), version number (exceptionListVersion), type (exceptionListType), and validity period (exceptionValidityStart and exceptionValidityEnd).&#10;&#10;AI-generated content may be incorrect."/>
                    <pic:cNvPicPr/>
                  </pic:nvPicPr>
                  <pic:blipFill>
                    <a:blip r:embed="rId15"/>
                    <a:stretch>
                      <a:fillRect/>
                    </a:stretch>
                  </pic:blipFill>
                  <pic:spPr>
                    <a:xfrm>
                      <a:off x="0" y="0"/>
                      <a:ext cx="6315642" cy="4060054"/>
                    </a:xfrm>
                    <a:prstGeom prst="rect">
                      <a:avLst/>
                    </a:prstGeom>
                  </pic:spPr>
                </pic:pic>
              </a:graphicData>
            </a:graphic>
          </wp:inline>
        </w:drawing>
      </w:r>
    </w:p>
    <w:p w14:paraId="309B6F58" w14:textId="73E75F3A" w:rsidR="005E4A05" w:rsidRPr="005E4A05" w:rsidRDefault="005E4A05" w:rsidP="00891AF0">
      <w:pPr>
        <w:keepNext/>
        <w:jc w:val="center"/>
        <w:rPr>
          <w:b/>
          <w:i/>
          <w:lang w:val="en-US"/>
        </w:rPr>
      </w:pPr>
      <w:r w:rsidRPr="005E4A05">
        <w:rPr>
          <w:b/>
          <w:lang w:val="en-US"/>
        </w:rPr>
        <w:t xml:space="preserve">Table </w:t>
      </w:r>
      <w:r>
        <w:rPr>
          <w:b/>
          <w:lang w:val="en-US"/>
        </w:rPr>
        <w:t xml:space="preserve">2 </w:t>
      </w:r>
      <w:r>
        <w:rPr>
          <w:b/>
          <w:i/>
          <w:lang w:val="en-US"/>
        </w:rPr>
        <w:t>(continued)</w:t>
      </w:r>
    </w:p>
    <w:p w14:paraId="265BB83D" w14:textId="77777777" w:rsidR="00891AF0" w:rsidRDefault="00891AF0" w:rsidP="00891AF0">
      <w:pPr>
        <w:jc w:val="center"/>
        <w:rPr>
          <w:lang w:val="en-US"/>
        </w:rPr>
      </w:pPr>
      <w:r w:rsidRPr="000449C4">
        <w:rPr>
          <w:noProof/>
        </w:rPr>
        <w:drawing>
          <wp:inline distT="0" distB="0" distL="0" distR="0" wp14:anchorId="66152C75" wp14:editId="48861CC6">
            <wp:extent cx="6308591" cy="2699491"/>
            <wp:effectExtent l="0" t="0" r="0" b="5715"/>
            <wp:docPr id="271241502" name="Picture 1" descr="The image illustrates a data structure for TSP (Traffic Service Provider) communication, detailing data elements like 'exceptionListEntries' and 'actionCode' with their respective types and usage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41502" name="Picture 1" descr="The image illustrates a data structure for TSP (Traffic Service Provider) communication, detailing data elements like 'exceptionListEntries' and 'actionCode' with their respective types and usage instructions.&#10;&#10;AI-generated content may be incorrect."/>
                    <pic:cNvPicPr/>
                  </pic:nvPicPr>
                  <pic:blipFill>
                    <a:blip r:embed="rId16"/>
                    <a:stretch>
                      <a:fillRect/>
                    </a:stretch>
                  </pic:blipFill>
                  <pic:spPr>
                    <a:xfrm>
                      <a:off x="0" y="0"/>
                      <a:ext cx="6341768" cy="2713688"/>
                    </a:xfrm>
                    <a:prstGeom prst="rect">
                      <a:avLst/>
                    </a:prstGeom>
                  </pic:spPr>
                </pic:pic>
              </a:graphicData>
            </a:graphic>
          </wp:inline>
        </w:drawing>
      </w:r>
    </w:p>
    <w:p w14:paraId="25FBA8D5" w14:textId="205B4B1B" w:rsidR="005E4A05" w:rsidRDefault="005E4A05">
      <w:pPr>
        <w:spacing w:after="0"/>
        <w:jc w:val="left"/>
        <w:rPr>
          <w:lang w:val="en-US"/>
        </w:rPr>
      </w:pPr>
    </w:p>
    <w:p w14:paraId="086A8881" w14:textId="5E2AAB54" w:rsidR="00891AF0" w:rsidRDefault="00891AF0" w:rsidP="00891AF0">
      <w:pPr>
        <w:rPr>
          <w:lang w:val="en-US"/>
        </w:rPr>
      </w:pPr>
      <w:r w:rsidRPr="008A26FC">
        <w:rPr>
          <w:lang w:val="en-US"/>
        </w:rPr>
        <w:t xml:space="preserve">Individual data types are explained sequentially in the text, or their definition is provided. For illustration, the definition of the </w:t>
      </w:r>
      <w:proofErr w:type="spellStart"/>
      <w:r w:rsidRPr="008A26FC">
        <w:rPr>
          <w:lang w:val="en-US"/>
        </w:rPr>
        <w:t>ExceptionListEntry</w:t>
      </w:r>
      <w:proofErr w:type="spellEnd"/>
      <w:r w:rsidRPr="008A26FC">
        <w:rPr>
          <w:lang w:val="en-US"/>
        </w:rPr>
        <w:t xml:space="preserve"> data type is provided below.</w:t>
      </w:r>
    </w:p>
    <w:p w14:paraId="0C981822" w14:textId="77777777" w:rsidR="005E4A05" w:rsidRDefault="005E4A05" w:rsidP="007F3473">
      <w:pPr>
        <w:pStyle w:val="Titulek"/>
        <w:jc w:val="center"/>
        <w:rPr>
          <w:lang w:val="en-US"/>
        </w:rPr>
      </w:pPr>
    </w:p>
    <w:p w14:paraId="09924941" w14:textId="77777777" w:rsidR="005E4A05" w:rsidRDefault="005E4A05" w:rsidP="007F3473">
      <w:pPr>
        <w:pStyle w:val="Titulek"/>
        <w:jc w:val="center"/>
        <w:rPr>
          <w:lang w:val="en-US"/>
        </w:rPr>
      </w:pPr>
    </w:p>
    <w:p w14:paraId="4CEA02A0" w14:textId="77777777" w:rsidR="005E4A05" w:rsidRDefault="005E4A05" w:rsidP="007F3473">
      <w:pPr>
        <w:pStyle w:val="Titulek"/>
        <w:jc w:val="center"/>
        <w:rPr>
          <w:lang w:val="en-US"/>
        </w:rPr>
      </w:pPr>
    </w:p>
    <w:p w14:paraId="099B8F59" w14:textId="77777777" w:rsidR="005E4A05" w:rsidRDefault="005E4A05" w:rsidP="007F3473">
      <w:pPr>
        <w:pStyle w:val="Titulek"/>
        <w:jc w:val="center"/>
        <w:rPr>
          <w:lang w:val="en-US"/>
        </w:rPr>
      </w:pPr>
    </w:p>
    <w:p w14:paraId="3568B501" w14:textId="3E2AC385" w:rsidR="007F3473" w:rsidRPr="008A26FC" w:rsidRDefault="007F3473" w:rsidP="007F3473">
      <w:pPr>
        <w:pStyle w:val="Titulek"/>
        <w:jc w:val="center"/>
        <w:rPr>
          <w:lang w:val="en-US"/>
        </w:rPr>
      </w:pPr>
      <w:r w:rsidRPr="008A26FC">
        <w:rPr>
          <w:lang w:val="en-US"/>
        </w:rPr>
        <w:lastRenderedPageBreak/>
        <w:t xml:space="preserve">Table </w:t>
      </w:r>
      <w:r w:rsidR="005E4A05">
        <w:rPr>
          <w:lang w:val="en-US"/>
        </w:rPr>
        <w:t>3</w:t>
      </w:r>
      <w:r w:rsidRPr="008A26FC">
        <w:rPr>
          <w:lang w:val="en-US"/>
        </w:rPr>
        <w:t xml:space="preserve"> – </w:t>
      </w:r>
      <w:r>
        <w:rPr>
          <w:lang w:val="en-US"/>
        </w:rPr>
        <w:t>Data elements</w:t>
      </w:r>
      <w:r w:rsidRPr="008A26FC">
        <w:rPr>
          <w:lang w:val="en-US"/>
        </w:rPr>
        <w:t xml:space="preserve"> of </w:t>
      </w:r>
      <w:proofErr w:type="spellStart"/>
      <w:r w:rsidRPr="008A26FC">
        <w:rPr>
          <w:lang w:val="en-US"/>
        </w:rPr>
        <w:t>ExceptionListEntry</w:t>
      </w:r>
      <w:proofErr w:type="spellEnd"/>
      <w:r w:rsidRPr="008A26FC">
        <w:rPr>
          <w:lang w:val="en-US"/>
        </w:rPr>
        <w:t xml:space="preserve"> (Tab. </w:t>
      </w:r>
      <w:r>
        <w:rPr>
          <w:lang w:val="en-US"/>
        </w:rPr>
        <w:t>219</w:t>
      </w:r>
      <w:r w:rsidRPr="008A26FC">
        <w:rPr>
          <w:lang w:val="en-US"/>
        </w:rPr>
        <w:t xml:space="preserve"> of the source standard)</w:t>
      </w:r>
    </w:p>
    <w:p w14:paraId="6FD45877" w14:textId="21E2DC57" w:rsidR="00891AF0" w:rsidRDefault="00891AF0" w:rsidP="00891AF0">
      <w:pPr>
        <w:keepNext/>
        <w:jc w:val="center"/>
        <w:rPr>
          <w:lang w:val="en-US"/>
        </w:rPr>
      </w:pPr>
      <w:r w:rsidRPr="00C47080">
        <w:rPr>
          <w:noProof/>
        </w:rPr>
        <w:drawing>
          <wp:inline distT="0" distB="0" distL="0" distR="0" wp14:anchorId="17FE3747" wp14:editId="23F568E8">
            <wp:extent cx="5916168" cy="5769638"/>
            <wp:effectExtent l="0" t="0" r="8890" b="2540"/>
            <wp:docPr id="990252682" name="Picture 1" descr="This image contains a structured table listing various data elements and their attributes, including status, type, and ex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2682" name="Picture 1" descr="This image contains a structured table listing various data elements and their attributes, including status, type, and examples.&#10;&#10;AI-generated content may be incorrect."/>
                    <pic:cNvPicPr/>
                  </pic:nvPicPr>
                  <pic:blipFill>
                    <a:blip r:embed="rId17"/>
                    <a:stretch>
                      <a:fillRect/>
                    </a:stretch>
                  </pic:blipFill>
                  <pic:spPr>
                    <a:xfrm>
                      <a:off x="0" y="0"/>
                      <a:ext cx="5918955" cy="5772356"/>
                    </a:xfrm>
                    <a:prstGeom prst="rect">
                      <a:avLst/>
                    </a:prstGeom>
                  </pic:spPr>
                </pic:pic>
              </a:graphicData>
            </a:graphic>
          </wp:inline>
        </w:drawing>
      </w:r>
    </w:p>
    <w:p w14:paraId="172BBB97" w14:textId="5CEB813C" w:rsidR="005E4A05" w:rsidRPr="005E4A05" w:rsidRDefault="005E4A05" w:rsidP="00891AF0">
      <w:pPr>
        <w:keepNext/>
        <w:jc w:val="center"/>
        <w:rPr>
          <w:b/>
          <w:i/>
          <w:lang w:val="en-US"/>
        </w:rPr>
      </w:pPr>
      <w:r w:rsidRPr="005E4A05">
        <w:rPr>
          <w:b/>
          <w:lang w:val="en-US"/>
        </w:rPr>
        <w:t>Table 3</w:t>
      </w:r>
      <w:r>
        <w:rPr>
          <w:b/>
          <w:lang w:val="en-US"/>
        </w:rPr>
        <w:t xml:space="preserve"> </w:t>
      </w:r>
      <w:r>
        <w:rPr>
          <w:b/>
          <w:i/>
          <w:lang w:val="en-US"/>
        </w:rPr>
        <w:t>(continued)</w:t>
      </w:r>
    </w:p>
    <w:p w14:paraId="59A316F5" w14:textId="77777777" w:rsidR="00891AF0" w:rsidRDefault="00891AF0" w:rsidP="007F3473">
      <w:pPr>
        <w:jc w:val="center"/>
        <w:rPr>
          <w:lang w:val="en-US"/>
        </w:rPr>
      </w:pPr>
      <w:r w:rsidRPr="00C47080">
        <w:rPr>
          <w:noProof/>
        </w:rPr>
        <w:drawing>
          <wp:inline distT="0" distB="0" distL="0" distR="0" wp14:anchorId="769BFF27" wp14:editId="0F3702D3">
            <wp:extent cx="5897372" cy="2391813"/>
            <wp:effectExtent l="0" t="0" r="8255" b="8890"/>
            <wp:docPr id="711066204" name="Picture 1" descr="The image depicts a data structure diagram, illustrating various data elements and their descriptions, including optional fields for applicable discounts, cost center, and identification type, with specifications on their data types and size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66204" name="Picture 1" descr="The image depicts a data structure diagram, illustrating various data elements and their descriptions, including optional fields for applicable discounts, cost center, and identification type, with specifications on their data types and size limits.&#10;&#10;AI-generated content may be incorrect."/>
                    <pic:cNvPicPr/>
                  </pic:nvPicPr>
                  <pic:blipFill>
                    <a:blip r:embed="rId18"/>
                    <a:stretch>
                      <a:fillRect/>
                    </a:stretch>
                  </pic:blipFill>
                  <pic:spPr>
                    <a:xfrm>
                      <a:off x="0" y="0"/>
                      <a:ext cx="5946415" cy="2411703"/>
                    </a:xfrm>
                    <a:prstGeom prst="rect">
                      <a:avLst/>
                    </a:prstGeom>
                  </pic:spPr>
                </pic:pic>
              </a:graphicData>
            </a:graphic>
          </wp:inline>
        </w:drawing>
      </w:r>
    </w:p>
    <w:p w14:paraId="24C52EC2" w14:textId="6DFDE5C2" w:rsidR="00891AF0" w:rsidRPr="008A26FC" w:rsidRDefault="00891AF0" w:rsidP="00891AF0">
      <w:pPr>
        <w:pStyle w:val="Nadpis1"/>
        <w:rPr>
          <w:lang w:val="en-US"/>
        </w:rPr>
      </w:pPr>
      <w:r w:rsidRPr="008A26FC">
        <w:rPr>
          <w:lang w:val="en-US"/>
        </w:rPr>
        <w:lastRenderedPageBreak/>
        <w:t>7</w:t>
      </w:r>
      <w:r w:rsidRPr="008A26FC">
        <w:rPr>
          <w:lang w:val="en-US"/>
        </w:rPr>
        <w:t> </w:t>
      </w:r>
      <w:r w:rsidRPr="00250D74">
        <w:t xml:space="preserve"> </w:t>
      </w:r>
      <w:r w:rsidRPr="00250D74">
        <w:rPr>
          <w:lang w:val="en-US"/>
        </w:rPr>
        <w:t xml:space="preserve">Transfer </w:t>
      </w:r>
      <w:r w:rsidR="008915E8">
        <w:rPr>
          <w:lang w:val="en-US"/>
        </w:rPr>
        <w:t>m</w:t>
      </w:r>
      <w:r w:rsidRPr="00250D74">
        <w:rPr>
          <w:lang w:val="en-US"/>
        </w:rPr>
        <w:t xml:space="preserve">echanisms and </w:t>
      </w:r>
      <w:r w:rsidR="008915E8">
        <w:rPr>
          <w:lang w:val="en-US"/>
        </w:rPr>
        <w:t>supporting f</w:t>
      </w:r>
      <w:r w:rsidRPr="00250D74">
        <w:rPr>
          <w:lang w:val="en-US"/>
        </w:rPr>
        <w:t>unctions</w:t>
      </w:r>
    </w:p>
    <w:p w14:paraId="3B9F86AB" w14:textId="77777777" w:rsidR="00891AF0" w:rsidRPr="008A26FC" w:rsidRDefault="00891AF0" w:rsidP="00891AF0">
      <w:pPr>
        <w:rPr>
          <w:lang w:val="en-US"/>
        </w:rPr>
      </w:pPr>
      <w:bookmarkStart w:id="2" w:name="_Toc479685658"/>
      <w:r w:rsidRPr="008A26FC">
        <w:rPr>
          <w:lang w:val="en-US"/>
        </w:rPr>
        <w:t>This clause, spanning 3 pages, establishes recommendations regarding the use of a secure communication channel, data encoding, message authentication, and message signing algorithms.</w:t>
      </w:r>
    </w:p>
    <w:p w14:paraId="3CF129D1" w14:textId="6C4FCCE2" w:rsidR="00891AF0" w:rsidRPr="008A26FC" w:rsidRDefault="00891AF0" w:rsidP="00891AF0">
      <w:pPr>
        <w:pStyle w:val="Nadpis1"/>
        <w:rPr>
          <w:lang w:val="en-US"/>
        </w:rPr>
      </w:pPr>
      <w:r w:rsidRPr="008A26FC">
        <w:rPr>
          <w:lang w:val="en-US"/>
        </w:rPr>
        <w:t xml:space="preserve">Annex A (normative) – </w:t>
      </w:r>
      <w:r w:rsidRPr="00250D74">
        <w:rPr>
          <w:lang w:val="en-US"/>
        </w:rPr>
        <w:t xml:space="preserve">Data </w:t>
      </w:r>
      <w:r w:rsidR="008915E8">
        <w:rPr>
          <w:lang w:val="en-US"/>
        </w:rPr>
        <w:t>type s</w:t>
      </w:r>
      <w:r w:rsidRPr="00250D74">
        <w:rPr>
          <w:lang w:val="en-US"/>
        </w:rPr>
        <w:t>pecifications</w:t>
      </w:r>
    </w:p>
    <w:p w14:paraId="0ADE145D" w14:textId="77777777" w:rsidR="00891AF0" w:rsidRPr="008A26FC" w:rsidRDefault="00891AF0" w:rsidP="00891AF0">
      <w:pPr>
        <w:rPr>
          <w:lang w:val="en-US"/>
        </w:rPr>
      </w:pPr>
      <w:r w:rsidRPr="008A26FC">
        <w:rPr>
          <w:lang w:val="en-US"/>
        </w:rPr>
        <w:t xml:space="preserve">Annex </w:t>
      </w:r>
      <w:proofErr w:type="gramStart"/>
      <w:r w:rsidRPr="008A26FC">
        <w:rPr>
          <w:lang w:val="en-US"/>
        </w:rPr>
        <w:t>A</w:t>
      </w:r>
      <w:proofErr w:type="gramEnd"/>
      <w:r w:rsidRPr="008A26FC">
        <w:rPr>
          <w:lang w:val="en-US"/>
        </w:rPr>
        <w:t>, spanning 1 page, provides the specification of the data types used according to ASN.1. A reference is provided here to the relevant ASN files, which can be imported into other application modules.</w:t>
      </w:r>
    </w:p>
    <w:p w14:paraId="54004584" w14:textId="74F284D8" w:rsidR="00891AF0" w:rsidRPr="008A26FC" w:rsidRDefault="00891AF0" w:rsidP="00891AF0">
      <w:pPr>
        <w:pStyle w:val="Nadpis1"/>
        <w:rPr>
          <w:lang w:val="en-US"/>
        </w:rPr>
      </w:pPr>
      <w:r w:rsidRPr="008A26FC">
        <w:rPr>
          <w:lang w:val="en-US"/>
        </w:rPr>
        <w:t xml:space="preserve">Annex B (informative) – </w:t>
      </w:r>
      <w:r w:rsidRPr="00250D74">
        <w:rPr>
          <w:lang w:val="en-US"/>
        </w:rPr>
        <w:t xml:space="preserve">Example </w:t>
      </w:r>
      <w:r w:rsidR="008915E8">
        <w:rPr>
          <w:lang w:val="en-US"/>
        </w:rPr>
        <w:t>enforcement p</w:t>
      </w:r>
      <w:r w:rsidRPr="00250D74">
        <w:rPr>
          <w:lang w:val="en-US"/>
        </w:rPr>
        <w:t xml:space="preserve">rocess </w:t>
      </w:r>
      <w:r w:rsidR="008915E8">
        <w:rPr>
          <w:lang w:val="en-US"/>
        </w:rPr>
        <w:t>applying s</w:t>
      </w:r>
      <w:r w:rsidRPr="00250D74">
        <w:rPr>
          <w:lang w:val="en-US"/>
        </w:rPr>
        <w:t xml:space="preserve">tandardized APDU </w:t>
      </w:r>
      <w:r w:rsidR="008915E8">
        <w:rPr>
          <w:lang w:val="en-US"/>
        </w:rPr>
        <w:t>e</w:t>
      </w:r>
      <w:r w:rsidRPr="00250D74">
        <w:rPr>
          <w:lang w:val="en-US"/>
        </w:rPr>
        <w:t>xchanges</w:t>
      </w:r>
    </w:p>
    <w:p w14:paraId="2977B92A" w14:textId="77777777" w:rsidR="00891AF0" w:rsidRPr="008A26FC" w:rsidRDefault="00891AF0" w:rsidP="00891AF0">
      <w:pPr>
        <w:rPr>
          <w:lang w:val="en-US"/>
        </w:rPr>
      </w:pPr>
      <w:r w:rsidRPr="008A26FC">
        <w:rPr>
          <w:lang w:val="en-US"/>
        </w:rPr>
        <w:t>Annex B, spanning 5 pages, describes the enforcement process. The process is illustrated using an activity diagram capturing the steps implemented on the side of the toll charger and the toll service provider, as well as the exchanged data messages.</w:t>
      </w:r>
    </w:p>
    <w:p w14:paraId="3DA5F5F8" w14:textId="4C6DD625" w:rsidR="00891AF0" w:rsidRPr="008A26FC" w:rsidRDefault="00891AF0" w:rsidP="00891AF0">
      <w:pPr>
        <w:pStyle w:val="Nadpis1"/>
        <w:rPr>
          <w:lang w:val="en-US"/>
        </w:rPr>
      </w:pPr>
      <w:r w:rsidRPr="008A26FC">
        <w:rPr>
          <w:lang w:val="en-US"/>
        </w:rPr>
        <w:t xml:space="preserve">Annex C (informative) – </w:t>
      </w:r>
      <w:r w:rsidRPr="00250D74">
        <w:rPr>
          <w:lang w:val="en-US"/>
        </w:rPr>
        <w:t xml:space="preserve">Example </w:t>
      </w:r>
      <w:r w:rsidR="008915E8">
        <w:rPr>
          <w:lang w:val="en-US"/>
        </w:rPr>
        <w:t>of data flows in a toll d</w:t>
      </w:r>
      <w:r w:rsidRPr="00250D74">
        <w:rPr>
          <w:lang w:val="en-US"/>
        </w:rPr>
        <w:t>omain</w:t>
      </w:r>
    </w:p>
    <w:p w14:paraId="22D9F2F4" w14:textId="77777777" w:rsidR="00891AF0" w:rsidRPr="008A26FC" w:rsidRDefault="00891AF0" w:rsidP="00891AF0">
      <w:pPr>
        <w:rPr>
          <w:lang w:val="en-US"/>
        </w:rPr>
      </w:pPr>
      <w:r w:rsidRPr="008A26FC">
        <w:rPr>
          <w:lang w:val="en-US"/>
        </w:rPr>
        <w:t xml:space="preserve">Annex C, spanning 3 pages, describes an example of a data flow in a toll domain. The example is illustrated using a sequence diagram capturing the data exchange between the toll charger, on-board equipment (OBE), toll </w:t>
      </w:r>
      <w:proofErr w:type="spellStart"/>
      <w:r w:rsidRPr="008A26FC">
        <w:rPr>
          <w:lang w:val="en-US"/>
        </w:rPr>
        <w:t>ser</w:t>
      </w:r>
      <w:proofErr w:type="spellEnd"/>
      <w:r w:rsidRPr="008A26FC">
        <w:rPr>
          <w:lang w:val="en-US"/>
        </w:rPr>
        <w:t>-vice provider, and user.</w:t>
      </w:r>
    </w:p>
    <w:p w14:paraId="1FF499C5" w14:textId="44611416" w:rsidR="00891AF0" w:rsidRPr="008A26FC" w:rsidRDefault="00891AF0" w:rsidP="00891AF0">
      <w:pPr>
        <w:pStyle w:val="Nadpis1"/>
        <w:rPr>
          <w:lang w:val="en-US"/>
        </w:rPr>
      </w:pPr>
      <w:r w:rsidRPr="008A26FC">
        <w:rPr>
          <w:lang w:val="en-US"/>
        </w:rPr>
        <w:t xml:space="preserve">Annex D (informative) – </w:t>
      </w:r>
      <w:r w:rsidRPr="00B342C8">
        <w:rPr>
          <w:lang w:val="en-US"/>
        </w:rPr>
        <w:t xml:space="preserve">Example of </w:t>
      </w:r>
      <w:r w:rsidR="008915E8">
        <w:rPr>
          <w:lang w:val="en-US"/>
        </w:rPr>
        <w:t>rounding d</w:t>
      </w:r>
      <w:r w:rsidRPr="00B342C8">
        <w:rPr>
          <w:lang w:val="en-US"/>
        </w:rPr>
        <w:t>ifferences</w:t>
      </w:r>
    </w:p>
    <w:p w14:paraId="05BBDB9C" w14:textId="77777777" w:rsidR="00891AF0" w:rsidRPr="008A26FC" w:rsidRDefault="00891AF0" w:rsidP="00891AF0">
      <w:pPr>
        <w:rPr>
          <w:lang w:val="en-US"/>
        </w:rPr>
      </w:pPr>
      <w:r w:rsidRPr="008A26FC">
        <w:rPr>
          <w:lang w:val="en-US"/>
        </w:rPr>
        <w:t xml:space="preserve">Annex D, spanning 4 pages, illustrates using the </w:t>
      </w:r>
      <w:proofErr w:type="spellStart"/>
      <w:r w:rsidRPr="008A26FC">
        <w:rPr>
          <w:lang w:val="en-US"/>
        </w:rPr>
        <w:t>EasyGo</w:t>
      </w:r>
      <w:proofErr w:type="spellEnd"/>
      <w:r w:rsidRPr="008A26FC">
        <w:rPr>
          <w:lang w:val="en-US"/>
        </w:rPr>
        <w:t xml:space="preserve"> example how rounding of amounts from aggregated toll transactions can be approached when creating billing details.</w:t>
      </w:r>
    </w:p>
    <w:p w14:paraId="666550B8" w14:textId="31CD9932" w:rsidR="00891AF0" w:rsidRPr="008A26FC" w:rsidRDefault="00891AF0" w:rsidP="00891AF0">
      <w:pPr>
        <w:pStyle w:val="Nadpis1"/>
        <w:rPr>
          <w:lang w:val="en-US"/>
        </w:rPr>
      </w:pPr>
      <w:r w:rsidRPr="008A26FC">
        <w:rPr>
          <w:lang w:val="en-US"/>
        </w:rPr>
        <w:t xml:space="preserve">Annex E (informative) – </w:t>
      </w:r>
      <w:r w:rsidR="008915E8">
        <w:rPr>
          <w:lang w:val="en-US"/>
        </w:rPr>
        <w:t>Fee calculation u</w:t>
      </w:r>
      <w:r w:rsidRPr="00B342C8">
        <w:rPr>
          <w:lang w:val="en-US"/>
        </w:rPr>
        <w:t xml:space="preserve">sing EFC </w:t>
      </w:r>
      <w:r w:rsidR="008915E8">
        <w:rPr>
          <w:lang w:val="en-US"/>
        </w:rPr>
        <w:t>c</w:t>
      </w:r>
      <w:r w:rsidRPr="00B342C8">
        <w:rPr>
          <w:lang w:val="en-US"/>
        </w:rPr>
        <w:t xml:space="preserve">ontext </w:t>
      </w:r>
      <w:r w:rsidR="008915E8">
        <w:rPr>
          <w:lang w:val="en-US"/>
        </w:rPr>
        <w:t>d</w:t>
      </w:r>
      <w:r w:rsidRPr="00B342C8">
        <w:rPr>
          <w:lang w:val="en-US"/>
        </w:rPr>
        <w:t>ata</w:t>
      </w:r>
    </w:p>
    <w:p w14:paraId="57D68E84" w14:textId="77777777" w:rsidR="00891AF0" w:rsidRPr="008A26FC" w:rsidRDefault="00891AF0" w:rsidP="00891AF0">
      <w:pPr>
        <w:rPr>
          <w:lang w:val="en-US"/>
        </w:rPr>
      </w:pPr>
      <w:r w:rsidRPr="008A26FC">
        <w:rPr>
          <w:lang w:val="en-US"/>
        </w:rPr>
        <w:t>Annex E, spanning 4 pages, provides an example of toll calculation based on tariff table information, toll context information, and toll domain usage information.</w:t>
      </w:r>
      <w:bookmarkEnd w:id="2"/>
    </w:p>
    <w:p w14:paraId="635C85A5" w14:textId="77777777" w:rsidR="00BE3749" w:rsidRPr="00891AF0" w:rsidRDefault="00BE3749" w:rsidP="009E2A98">
      <w:pPr>
        <w:rPr>
          <w:lang w:val="en-US"/>
        </w:rPr>
      </w:pPr>
    </w:p>
    <w:p w14:paraId="635C85A6" w14:textId="77777777" w:rsidR="00BE3749" w:rsidRPr="006371CB" w:rsidRDefault="00BE3749" w:rsidP="009E2A98">
      <w:pPr>
        <w:rPr>
          <w:lang w:val="en-GB"/>
        </w:rPr>
      </w:pPr>
    </w:p>
    <w:sectPr w:rsidR="00BE3749" w:rsidRPr="006371CB">
      <w:footerReference w:type="default" r:id="rId19"/>
      <w:pgSz w:w="11907" w:h="16840"/>
      <w:pgMar w:top="1134" w:right="964" w:bottom="1134" w:left="1021"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5C85B0" w14:textId="77777777" w:rsidR="002C6AEF" w:rsidRDefault="002C6AEF" w:rsidP="009E2A98">
      <w:r>
        <w:separator/>
      </w:r>
    </w:p>
  </w:endnote>
  <w:endnote w:type="continuationSeparator" w:id="0">
    <w:p w14:paraId="635C85B2" w14:textId="77777777" w:rsidR="002C6AEF" w:rsidRDefault="002C6AEF" w:rsidP="009E2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5C85AB" w14:textId="739B4901" w:rsidR="00BE3749" w:rsidRDefault="002C6AEF" w:rsidP="009E2A98">
    <w:pPr>
      <w:jc w:val="center"/>
    </w:pPr>
    <w:r>
      <w:fldChar w:fldCharType="begin"/>
    </w:r>
    <w:r>
      <w:instrText>PAGE</w:instrText>
    </w:r>
    <w:r>
      <w:fldChar w:fldCharType="separate"/>
    </w:r>
    <w:r w:rsidR="005E7B2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C85AC" w14:textId="77777777" w:rsidR="002C6AEF" w:rsidRDefault="002C6AEF" w:rsidP="009E2A98">
      <w:r>
        <w:separator/>
      </w:r>
    </w:p>
  </w:footnote>
  <w:footnote w:type="continuationSeparator" w:id="0">
    <w:p w14:paraId="635C85AE" w14:textId="77777777" w:rsidR="002C6AEF" w:rsidRDefault="002C6AEF" w:rsidP="009E2A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F8CA8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C6E1B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39E1D4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81698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D18800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F58189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061E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80CEC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8267F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1D0F4A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F723332"/>
    <w:multiLevelType w:val="multilevel"/>
    <w:tmpl w:val="B9069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749"/>
    <w:rsid w:val="00054357"/>
    <w:rsid w:val="001216B2"/>
    <w:rsid w:val="001642E7"/>
    <w:rsid w:val="00167677"/>
    <w:rsid w:val="001713A5"/>
    <w:rsid w:val="00181001"/>
    <w:rsid w:val="00197D10"/>
    <w:rsid w:val="001D524E"/>
    <w:rsid w:val="00205F1D"/>
    <w:rsid w:val="00267B08"/>
    <w:rsid w:val="00290D75"/>
    <w:rsid w:val="002B1EEA"/>
    <w:rsid w:val="002C6AEF"/>
    <w:rsid w:val="0032189C"/>
    <w:rsid w:val="0032318D"/>
    <w:rsid w:val="00333B67"/>
    <w:rsid w:val="00334CE5"/>
    <w:rsid w:val="00395DBA"/>
    <w:rsid w:val="003C3C69"/>
    <w:rsid w:val="004C754D"/>
    <w:rsid w:val="005246DA"/>
    <w:rsid w:val="00544C13"/>
    <w:rsid w:val="0059310C"/>
    <w:rsid w:val="005A46DA"/>
    <w:rsid w:val="005E4A05"/>
    <w:rsid w:val="005E7B29"/>
    <w:rsid w:val="006340EC"/>
    <w:rsid w:val="006371CB"/>
    <w:rsid w:val="006E12F8"/>
    <w:rsid w:val="00725DAF"/>
    <w:rsid w:val="007402F6"/>
    <w:rsid w:val="00751F81"/>
    <w:rsid w:val="007764FB"/>
    <w:rsid w:val="007F2C28"/>
    <w:rsid w:val="007F3473"/>
    <w:rsid w:val="00815259"/>
    <w:rsid w:val="00846668"/>
    <w:rsid w:val="008668A7"/>
    <w:rsid w:val="00867843"/>
    <w:rsid w:val="008915E8"/>
    <w:rsid w:val="00891AF0"/>
    <w:rsid w:val="008977AC"/>
    <w:rsid w:val="008E47E2"/>
    <w:rsid w:val="009C1310"/>
    <w:rsid w:val="009E2A98"/>
    <w:rsid w:val="00A505CE"/>
    <w:rsid w:val="00A63180"/>
    <w:rsid w:val="00AF39D4"/>
    <w:rsid w:val="00B3577E"/>
    <w:rsid w:val="00B66D25"/>
    <w:rsid w:val="00BE3749"/>
    <w:rsid w:val="00BE5BF2"/>
    <w:rsid w:val="00C4410F"/>
    <w:rsid w:val="00CA4FBB"/>
    <w:rsid w:val="00CC72F7"/>
    <w:rsid w:val="00CE0FD0"/>
    <w:rsid w:val="00CE15AB"/>
    <w:rsid w:val="00CF7963"/>
    <w:rsid w:val="00D14F58"/>
    <w:rsid w:val="00D20726"/>
    <w:rsid w:val="00D313FF"/>
    <w:rsid w:val="00D36AEA"/>
    <w:rsid w:val="00D3725C"/>
    <w:rsid w:val="00DB016E"/>
    <w:rsid w:val="00DC118B"/>
    <w:rsid w:val="00DC1C0E"/>
    <w:rsid w:val="00DC4DE9"/>
    <w:rsid w:val="00E8646C"/>
    <w:rsid w:val="00F2480F"/>
    <w:rsid w:val="00F33BF4"/>
    <w:rsid w:val="00F46C02"/>
    <w:rsid w:val="00FB6FA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C8550"/>
  <w15:docId w15:val="{AE6C7EC9-8BE9-4E69-88CC-D0FF9FD2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cs-CZ" w:eastAsia="cs-CZ"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9E2A98"/>
    <w:pPr>
      <w:spacing w:after="120"/>
      <w:jc w:val="both"/>
    </w:pPr>
    <w:rPr>
      <w:rFonts w:eastAsia="Times New Roman" w:cs="Times New Roman"/>
      <w:sz w:val="20"/>
      <w:szCs w:val="20"/>
    </w:rPr>
  </w:style>
  <w:style w:type="paragraph" w:styleId="Nadpis1">
    <w:name w:val="heading 1"/>
    <w:basedOn w:val="Normln"/>
    <w:next w:val="Normln"/>
    <w:link w:val="Nadpis1Char"/>
    <w:uiPriority w:val="99"/>
    <w:qFormat/>
    <w:rsid w:val="001713A5"/>
    <w:pPr>
      <w:keepNext/>
      <w:keepLines/>
      <w:spacing w:before="240" w:after="60" w:line="240" w:lineRule="auto"/>
      <w:outlineLvl w:val="0"/>
    </w:pPr>
    <w:rPr>
      <w:b/>
      <w:color w:val="003366"/>
      <w:lang w:val="en-GB"/>
    </w:rPr>
  </w:style>
  <w:style w:type="paragraph" w:styleId="Nadpis2">
    <w:name w:val="heading 2"/>
    <w:basedOn w:val="Normln"/>
    <w:next w:val="Normln"/>
    <w:uiPriority w:val="9"/>
    <w:unhideWhenUsed/>
    <w:qFormat/>
    <w:pPr>
      <w:outlineLvl w:val="1"/>
    </w:pPr>
  </w:style>
  <w:style w:type="paragraph" w:styleId="Nadpis3">
    <w:name w:val="heading 3"/>
    <w:basedOn w:val="Normln"/>
    <w:next w:val="Normln"/>
    <w:uiPriority w:val="9"/>
    <w:semiHidden/>
    <w:unhideWhenUsed/>
    <w:qFormat/>
    <w:pPr>
      <w:outlineLvl w:val="2"/>
    </w:pPr>
  </w:style>
  <w:style w:type="paragraph" w:styleId="Nadpis4">
    <w:name w:val="heading 4"/>
    <w:basedOn w:val="Normln"/>
    <w:next w:val="Normln"/>
    <w:uiPriority w:val="9"/>
    <w:semiHidden/>
    <w:unhideWhenUsed/>
    <w:qFormat/>
    <w:pPr>
      <w:outlineLvl w:val="3"/>
    </w:pPr>
  </w:style>
  <w:style w:type="paragraph" w:styleId="Nadpis5">
    <w:name w:val="heading 5"/>
    <w:basedOn w:val="Normln"/>
    <w:next w:val="Normln"/>
    <w:uiPriority w:val="9"/>
    <w:semiHidden/>
    <w:unhideWhenUsed/>
    <w:qFormat/>
    <w:pPr>
      <w:outlineLvl w:val="4"/>
    </w:pPr>
  </w:style>
  <w:style w:type="paragraph" w:styleId="Nadpis6">
    <w:name w:val="heading 6"/>
    <w:basedOn w:val="Normln"/>
    <w:next w:val="Normln"/>
    <w:uiPriority w:val="9"/>
    <w:semiHidden/>
    <w:unhideWhenUsed/>
    <w:qFormat/>
    <w:pPr>
      <w:outlineLvl w:val="5"/>
    </w:p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link w:val="NzevChar"/>
    <w:qFormat/>
  </w:style>
  <w:style w:type="table" w:customStyle="1" w:styleId="TableNormal0">
    <w:name w:val="Table Normal"/>
    <w:tblPr>
      <w:tblCellMar>
        <w:top w:w="0" w:type="dxa"/>
        <w:left w:w="0" w:type="dxa"/>
        <w:bottom w:w="0" w:type="dxa"/>
        <w:right w:w="0" w:type="dxa"/>
      </w:tblCellMar>
    </w:tblPr>
  </w:style>
  <w:style w:type="paragraph" w:styleId="Podnadpis">
    <w:name w:val="Subtitle"/>
    <w:basedOn w:val="Normln"/>
    <w:next w:val="Normln"/>
    <w:uiPriority w:val="11"/>
    <w:qFormat/>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70" w:type="dxa"/>
        <w:right w:w="70" w:type="dxa"/>
      </w:tblCellMar>
    </w:tblPr>
  </w:style>
  <w:style w:type="paragraph" w:styleId="Odstavecseseznamem">
    <w:name w:val="List Paragraph"/>
    <w:basedOn w:val="Normln"/>
    <w:uiPriority w:val="34"/>
    <w:qFormat/>
    <w:rsid w:val="00DE3831"/>
    <w:pPr>
      <w:ind w:left="720"/>
      <w:contextualSpacing/>
    </w:pPr>
  </w:style>
  <w:style w:type="paragraph" w:styleId="Normlnweb">
    <w:name w:val="Normal (Web)"/>
    <w:basedOn w:val="Normln"/>
    <w:uiPriority w:val="99"/>
    <w:semiHidden/>
    <w:unhideWhenUsed/>
    <w:rsid w:val="00D42C33"/>
    <w:rPr>
      <w:rFonts w:ascii="Times New Roman" w:hAnsi="Times New Roman"/>
      <w:sz w:val="24"/>
      <w:szCs w:val="24"/>
    </w:rPr>
  </w:style>
  <w:style w:type="table" w:customStyle="1" w:styleId="a1">
    <w:basedOn w:val="TableNormal0"/>
    <w:tblPr>
      <w:tblStyleRowBandSize w:val="1"/>
      <w:tblStyleColBandSize w:val="1"/>
      <w:tblCellMar>
        <w:left w:w="70" w:type="dxa"/>
        <w:right w:w="70" w:type="dxa"/>
      </w:tblCellMar>
    </w:tblPr>
  </w:style>
  <w:style w:type="character" w:styleId="Hypertextovodkaz">
    <w:name w:val="Hyperlink"/>
    <w:basedOn w:val="Standardnpsmoodstavce"/>
    <w:uiPriority w:val="99"/>
    <w:unhideWhenUsed/>
    <w:rsid w:val="00CE15AB"/>
    <w:rPr>
      <w:color w:val="0000FF" w:themeColor="hyperlink"/>
      <w:u w:val="single"/>
    </w:rPr>
  </w:style>
  <w:style w:type="character" w:customStyle="1" w:styleId="UnresolvedMention">
    <w:name w:val="Unresolved Mention"/>
    <w:basedOn w:val="Standardnpsmoodstavce"/>
    <w:uiPriority w:val="99"/>
    <w:semiHidden/>
    <w:unhideWhenUsed/>
    <w:rsid w:val="00CE15AB"/>
    <w:rPr>
      <w:color w:val="605E5C"/>
      <w:shd w:val="clear" w:color="auto" w:fill="E1DFDD"/>
    </w:rPr>
  </w:style>
  <w:style w:type="character" w:customStyle="1" w:styleId="NzevChar">
    <w:name w:val="Název Char"/>
    <w:link w:val="Nzev"/>
    <w:rsid w:val="001713A5"/>
  </w:style>
  <w:style w:type="character" w:customStyle="1" w:styleId="Nadpis1Char">
    <w:name w:val="Nadpis 1 Char"/>
    <w:link w:val="Nadpis1"/>
    <w:uiPriority w:val="99"/>
    <w:rsid w:val="001713A5"/>
    <w:rPr>
      <w:rFonts w:eastAsia="Times New Roman" w:cs="Times New Roman"/>
      <w:b/>
      <w:color w:val="003366"/>
      <w:szCs w:val="20"/>
      <w:lang w:val="en-GB"/>
    </w:rPr>
  </w:style>
  <w:style w:type="character" w:customStyle="1" w:styleId="Internetovodkaz">
    <w:name w:val="Internetový odkaz"/>
    <w:uiPriority w:val="99"/>
    <w:rsid w:val="001713A5"/>
    <w:rPr>
      <w:color w:val="0000FF"/>
      <w:u w:val="single"/>
    </w:rPr>
  </w:style>
  <w:style w:type="paragraph" w:styleId="Zhlav">
    <w:name w:val="header"/>
    <w:basedOn w:val="Normln"/>
    <w:link w:val="ZhlavChar"/>
    <w:uiPriority w:val="99"/>
    <w:unhideWhenUsed/>
    <w:rsid w:val="009E2A98"/>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E2A98"/>
    <w:rPr>
      <w:rFonts w:eastAsia="Times New Roman" w:cs="Times New Roman"/>
      <w:sz w:val="20"/>
      <w:szCs w:val="20"/>
    </w:rPr>
  </w:style>
  <w:style w:type="paragraph" w:styleId="Zpat">
    <w:name w:val="footer"/>
    <w:basedOn w:val="Normln"/>
    <w:link w:val="ZpatChar"/>
    <w:uiPriority w:val="99"/>
    <w:unhideWhenUsed/>
    <w:rsid w:val="009E2A98"/>
    <w:pPr>
      <w:tabs>
        <w:tab w:val="center" w:pos="4536"/>
        <w:tab w:val="right" w:pos="9072"/>
      </w:tabs>
      <w:spacing w:after="0" w:line="240" w:lineRule="auto"/>
    </w:pPr>
  </w:style>
  <w:style w:type="character" w:customStyle="1" w:styleId="ZpatChar">
    <w:name w:val="Zápatí Char"/>
    <w:basedOn w:val="Standardnpsmoodstavce"/>
    <w:link w:val="Zpat"/>
    <w:uiPriority w:val="99"/>
    <w:rsid w:val="009E2A98"/>
    <w:rPr>
      <w:rFonts w:eastAsia="Times New Roman" w:cs="Times New Roman"/>
      <w:sz w:val="20"/>
      <w:szCs w:val="20"/>
    </w:rPr>
  </w:style>
  <w:style w:type="paragraph" w:customStyle="1" w:styleId="1StrNN-2-4">
    <w:name w:val="1StrNN-2-4"/>
    <w:basedOn w:val="Normln"/>
    <w:rsid w:val="009E2A98"/>
    <w:pPr>
      <w:widowControl w:val="0"/>
      <w:suppressAutoHyphens/>
      <w:spacing w:before="640" w:after="0" w:line="340" w:lineRule="exact"/>
      <w:ind w:right="567"/>
      <w:jc w:val="left"/>
    </w:pPr>
    <w:rPr>
      <w:b/>
      <w:sz w:val="28"/>
    </w:rPr>
  </w:style>
  <w:style w:type="paragraph" w:customStyle="1" w:styleId="1StrTrZn">
    <w:name w:val="1StrTrZn"/>
    <w:basedOn w:val="Normln"/>
    <w:rsid w:val="009E2A98"/>
    <w:pPr>
      <w:spacing w:before="80" w:after="80" w:line="340" w:lineRule="exact"/>
      <w:jc w:val="left"/>
    </w:pPr>
    <w:rPr>
      <w:sz w:val="28"/>
    </w:rPr>
  </w:style>
  <w:style w:type="paragraph" w:styleId="Titulek">
    <w:name w:val="caption"/>
    <w:basedOn w:val="Normln"/>
    <w:next w:val="Normln"/>
    <w:qFormat/>
    <w:rsid w:val="009E2A98"/>
    <w:pPr>
      <w:spacing w:before="120" w:line="240" w:lineRule="auto"/>
      <w:jc w:val="left"/>
    </w:pPr>
    <w:rPr>
      <w:b/>
    </w:rPr>
  </w:style>
  <w:style w:type="paragraph" w:customStyle="1" w:styleId="Textnormy">
    <w:name w:val="Text normy"/>
    <w:link w:val="TextnormyChar1"/>
    <w:uiPriority w:val="99"/>
    <w:rsid w:val="00891AF0"/>
    <w:pPr>
      <w:spacing w:after="120" w:line="240" w:lineRule="auto"/>
      <w:jc w:val="both"/>
    </w:pPr>
    <w:rPr>
      <w:sz w:val="20"/>
      <w:szCs w:val="20"/>
    </w:rPr>
  </w:style>
  <w:style w:type="character" w:customStyle="1" w:styleId="TextnormyChar1">
    <w:name w:val="Text normy Char1"/>
    <w:link w:val="Textnormy"/>
    <w:uiPriority w:val="99"/>
    <w:rsid w:val="00891AF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so.org/obp"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www.standardland.cz/"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www.itsterminology.org/"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Y5C14rd5K9SQ/TqAXOlKBvyFSQ==">CgMxLjAinAIKC0FBQUJjc09vTDFJEuYBCgtBQUFCY3NPb0wxSRILQUFBQmNzT29MMUkaDQoJdGV4dC9odG1sEgAiDgoKdGV4dC9wbGFpbhIAKhsiFTEwNzQ1OTI1Njc1MzIzNDk0NTA2OSgAOAAwkujWlskyOK7U15bJMkpGCiRhcHBsaWNhdGlvbi92bmQuZ29vZ2xlLWFwcHMuZG9jcy5tZHMaHsLX2uQBGBoWChIKDGEgbmEgxI3DoXN0aRABGAAQAVoMbW1qZTFlb25xcm00cgIgAHgAggEUc3VnZ2VzdC5kd2YxNGFzcjA5enKaAQYIABAAGACwAQC4AQAYkujWlskyIK7U15bJMjAAQhRzdWdnZXN0LmR3ZjE0YXNyMDl6ciKSAgoLQUFBQmItNVVpdXcS3AEKC0FBQUJiLTVVaXV3EgtBQUFCYi01VWl1dxoNCgl0ZXh0L2h0bWwSACIOCgp0ZXh0L3BsYWluEgAqGyIVMTA2NjEzNjg0ODI1NzIwMTQ1NjYzKAA4ADDmj8rzyDI4sKXK88gySjwKJGFwcGxpY2F0aW9uL3ZuZC5nb29nbGUtYXBwcy5kb2NzLm1kcxoUwtfa5AEOGgwKCAoCUG8QARgAEAFaDHY0dDVtYXY1Z3hycXICIAB4AIIBFHN1Z2dlc3Qudzl6ejk0Y2Z2bG14mgEGCAAQABgAsAEAuAEAGOaPyvPIMiCwpcrzyDIwAEIUc3VnZ2VzdC53OXp6OTRjZnZsbXgikQIKC0FBQUJjc2VuekJvEtsBCgtBQUFCY3NlbnpCbxILQUFBQmNzZW56Qm8aDQoJdGV4dC9odG1sEgAiDgoKdGV4dC9wbGFpbhIAKhsiFTEwNzQ1OTI1Njc1MzIzNDk0NTA2OSgAOAAwmY6pmskyOJOrqZrJMko7CiRhcHBsaWNhdGlvbi92bmQuZ29vZ2xlLWFwcHMuZG9jcy5tZHMaE8LX2uQBDRoLCgcKAUoQARgAEAFaDGUxYWphZm4wMGZjbXICIAB4AIIBFHN1Z2dlc3QuOTltdmIydTd4dmwymgEGCAAQABgAsAEAuAEAGJmOqZrJMiCTq6mayTIwAEIUc3VnZ2VzdC45OW12YjJ1N3h2bDIitAIKC0FBQUJjc1FhcGFNEv4BCgtBQUFCY3NRYXBhTRILQUFBQmNzUWFwYU0aDQoJdGV4dC9odG1sEgAiDgoKdGV4dC9wbGFpbhIAKhsiFTEwNzQ1OTI1Njc1MzIzNDk0NTA2OSgAOAAwu5n3mckyOLew95nJMkpeCiRhcHBsaWNhdGlvbi92bmQuZ29vZ2xlLWFwcHMuZG9jcy5tZHMaNsLX2uQBMBIuCioKJG8gb3NvYnkgc2Ugc3BlY2lmaWNrw71taSBwb3TFmWViYW1pLhABGAAQAVoMeHJ5NXVjZ3A5dTdqcgIgAHgAggEUc3VnZ2VzdC5lOXJ5M3NjOTFuamuaAQYIABAAGACwAQC4AQAYu5n3mckyILew95nJMjAAQhRzdWdnZXN0LmU5cnkzc2M5MW5qayKcAgoLQUFBQmItYk5WdU0S5gEKC0FBQUJiLWJOVnVNEgtBQUFCYi1iTlZ1TRoNCgl0ZXh0L2h0bWwSACIOCgp0ZXh0L3BsYWluEgAqGyIVMTE3NTQ1NjU0ODE2OTIxMzQ3MTYyKAA4ADCNhJzuyDI4u4mc7sgySkYKJGFwcGxpY2F0aW9uL3ZuZC5nb29nbGUtYXBwcy5kb2NzLm1kcxoewtfa5AEYChYKCAoCw6kQARgAEggKAsOhEAEYABgBWgx2a3oxeXUxNGx2aTJyAiAAeACCARRzdWdnZXN0LjhrOGlseGprMmI1bZoBBggAEAAYALABALgBABiNhJzuyDIgu4mc7sgyMABCFHN1Z2dlc3QuOGs4aWx4amsyYjVtIvoCCgtBQUFCY3NRYXBRYxLEAgoLQUFBQmNzUWFwUWMSC0FBQUJjc1FhcFFjGg0KCXRleHQvaHRtbBIAIg4KCnRleHQvcGxhaW4SACobIhUxMDc0NTkyNTY3NTMyMzQ5NDUwNjkoADgAMMHg1pjJMjiJ9OiYyTJKowEKJGFwcGxpY2F0aW9uL3ZuZC5nb29nbGUtYXBwcy5kb2NzLm1kcxp7wtfa5AF1CnMKUQpLcG/FvmFkYXZreSBuYSBpbmZvcm1hY2Ugb2QgdcW+aXZhdGVsxa8gc2Ugc27DrcW+ZW5vdSBzY2hvcG5vc3TDrSBtb2JpbGl0eSBhEAEYABIcChZsw6Fua8WvLiBUYXRvIGthcGl0b2xhEAEYABgBWgxpMGx3YjBmdjU0MmxyAiAAeACCARRzdWdnZXN0LmVqdmk4b3l6aWxmbJoBBggAEAAYALABALgBABjB4NaYyTIgifTomMkyMABCFHN1Z2dlc3QuZWp2aThveXppbGZsMghoLmdqZGd4czgAaiYKFHN1Z2dlc3QudHVocTdwYmFzYXJ4Eg56dXphbmEgc3ZlZG92YWojChRzdWdnZXN0LmJlaGd5MHZsa3FqbxILUGV0ciBCdXJlxaFqIwoUc3VnZ2VzdC41b3J4OHh4a3Rtd2gSC1BldHIgQnVyZcWhaiYKFHN1Z2dlc3QuNHB0bjVoZGQxZ3poEg56dXphbmEgc3ZlZG92YWomChRzdWdnZXN0Ljd4NzRnZmppdThsdxIOenV6YW5hIHN2ZWRvdmFqIwoUc3VnZ2VzdC55d3BzMnZpd245em8SC1BldHIgQnVyZcWhaiYKFHN1Z2dlc3QuaTVnZmtlamhnNmMyEg56dXphbmEgc3ZlZG92YWojChRzdWdnZXN0LjhheDkyem5ocGw3ZxILUGV0ciBCdXJlxaFqJgoUc3VnZ2VzdC5hNGtwZHd0cmY4NzQSDnp1emFuYSBzdmVkb3Zhah8KFHN1Z2dlc3QuaW5tZnRkMWl0cHppEgdUTksgMTM2aiMKFHN1Z2dlc3QudHk1bnN6ZjlnejF0EgtQZXRyIEJ1cmXFoWofChRzdWdnZXN0LnFhMHQxMTVtNGpxMhIHVE5LIDEzNmojChRzdWdnZXN0LjY4enNrc3RiYzhtbBILUGV0ciBCdXJlxaFqIwoUc3VnZ2VzdC52MDJhdHpyMXp0ZnASC1BldHIgQnVyZcWhah8KFHN1Z2dlc3QuNmpycGlkMzk4aHp2EgdUTksgMTM2aiYKFHN1Z2dlc3QudnprMnRjaThnYmU5Eg56dXphbmEgc3ZlZG92YWojChRzdWdnZXN0LmJ5bjhpc2Z5YTN4eBILUGV0ciBCdXJlxaFqHwoUc3VnZ2VzdC5idGJ2YnlxNjRwMWsSB1ROSyAxMzZqIwoUc3VnZ2VzdC5qaGt0c3ExbHpuNGESC1BldHIgQnVyZcWhaiYKFHN1Z2dlc3QuZmQyN3Vka3V6OTZtEg56dXphbmEgc3ZlZG92YWojChRzdWdnZXN0LmI3am03ZjZ4Z2ZmdhILUGV0ciBCdXJlxaFqHwoUc3VnZ2VzdC5mcmFrajVlN2FocnESB1ROSyAxMzZqHwoUc3VnZ2VzdC4zcHVkb2thdDB4encSB1ROSyAxMzZqJgoUc3VnZ2VzdC52YmZjOTB0eWN3YzkSDnp1emFuYSBzdmVkb3ZhaiYKFHN1Z2dlc3QuZXAweGhxNGMxYm1iEg56dXphbmEgc3ZlZG92YWomChRzdWdnZXN0LnFhdnVhamc3aWNtbRIOenV6YW5hIHN2ZWRvdmFqIwoUc3VnZ2VzdC5idW8wY2pnbWF1ZmsSC1BldHIgQnVyZcWhaiYKFHN1Z2dlc3QubWtwOXhzMmJtNm05Eg56dXphbmEgc3ZlZG92YWojChRzdWdnZXN0LjZvOWZwZ2Jhc2NvYhILUGV0ciBCdXJlxaFqHwoUc3VnZ2VzdC4xbGRpdG5ycnowb2USB1ROSyAxMzZqJQoTc3VnZ2VzdC41emhrcDNmNmh3ORIOenV6YW5hIHN2ZWRvdmFqJgoUc3VnZ2VzdC41aWc4NXJ6MjI0bjcSDnp1emFuYSBzdmVkb3ZhaiYKFHN1Z2dlc3QuZm95dDZjbnNmNnJhEg56dXphbmEgc3ZlZG92YWomChRzdWdnZXN0Lm5xbW9zN3EwNGF5eRIOenV6YW5hIHN2ZWRvdmFqIwoUc3VnZ2VzdC40bnBzamRxa3J3Ym4SC1BldHIgQnVyZcWhaiYKFHN1Z2dlc3QuaXdpbDE0cDVjZTVrEg56dXphbmEgc3ZlZG92YWomChRzdWdnZXN0Lm95eDl4Y3I5ZG04dRIOenV6YW5hIHN2ZWRvdmFqJgoUc3VnZ2VzdC45cWludmNzZ29ydHYSDnp1emFuYSBzdmVkb3ZhaiMKFHN1Z2dlc3QuM3lsNHM2cGhtN2Z2EgtQZXRyIEJ1cmXFoWomChRzdWdnZXN0LnF6bWNtZXdqcTZyMRIOenV6YW5hIHN2ZWRvdmFqHwoUc3VnZ2VzdC44azV2aDNpeDZoMmoSB1ROSyAxMzZqJgoUc3VnZ2VzdC5kd2YxNGFzcjA5enISDnp1emFuYSBzdmVkb3ZhaiMKFHN1Z2dlc3QuaG10Ymh1emg3M3Z4EgtQZXRyIEJ1cmXFoWojChRzdWdnZXN0LnppMGNnYnRvc2lybhILUGV0ciBCdXJlxaFqJgoUc3VnZ2VzdC5yZ2YzOXJnYTR6YnQSDnp1emFuYSBzdmVkb3ZhaiMKFHN1Z2dlc3Qud2E0djRxc3VwMWI2EgtQZXRyIEJ1cmXFoWojChRzdWdnZXN0LnBxeXl6YmFnaHdrcBILUGV0ciBCdXJlxaFqIwoUc3VnZ2VzdC43NnlvZ2VtandoMWESC1BldHIgQnVyZcWhah8KFHN1Z2dlc3QuNWcwZzgwMW5saTgyEgdUTksgMTM2aiMKFHN1Z2dlc3QucHI0YzQza2hmeXlhEgtQZXRyIEJ1cmXFoWomChRzdWdnZXN0LmtmbHA4bGQ2aHJwcRIOenV6YW5hIHN2ZWRvdmFqJgoUc3VnZ2VzdC5ubXRqZG0zcm5mNmISDnp1emFuYSBzdmVkb3ZhaiMKFHN1Z2dlc3QudzVoaDRyeWc3MWtkEgtQZXRyIEJ1cmXFoWofChRzdWdnZXN0Lnd4aDR0MzI2ZG5scRIHVE5LIDEzNmojChRzdWdnZXN0Lnc5eno5NGNmdmxteBILUGV0ciBCdXJlxaFqJgoUc3VnZ2VzdC5rM2NzdTBjc2xjMGoSDnp1emFuYSBzdmVkb3Zhah8KFHN1Z2dlc3QuajhjYnZ0cWY4emtxEgdUTksgMTM2ah8KFHN1Z2dlc3QueHY5ZzJna2tpdGExEgdUTksgMTM2aiYKFHN1Z2dlc3QuYjRyN21nZGo0bmZkEg56dXphbmEgc3ZlZG92YWofChRzdWdnZXN0LmNjY2o5bGs3eG53eRIHVE5LIDEzNmomChRzdWdnZXN0Ljk5bXZiMnU3eHZsMhIOenV6YW5hIHN2ZWRvdmFqJgoUc3VnZ2VzdC5pNGp5bGdsM2dnNHoSDnp1emFuYSBzdmVkb3ZhaiYKFHN1Z2dlc3QuYnZzZGthOHZmODdzEg56dXphbmEgc3ZlZG92YWomChRzdWdnZXN0Lnc3OHY0cnNsZ2VsaxIOenV6YW5hIHN2ZWRvdmFqJgoUc3VnZ2VzdC51bXZhdnFmeDJ2encSDnp1emFuYSBzdmVkb3Zhah8KFHN1Z2dlc3Quc215M2lhM3pvY2N1EgdUTksgMTM2aiMKFHN1Z2dlc3QuaXZtYW1wZGpqNWplEgtQZXRyIEJ1cmXFoWojChRzdWdnZXN0LmV5N3hnb3lwbG5mYRILUGV0ciBCdXJlxaFqIwoUc3VnZ2VzdC42ZnA2OHpjYnQwaGkSC1BldHIgQnVyZcWhaiYKFHN1Z2dlc3QuZTlyeTNzYzkxbmprEg56dXphbmEgc3ZlZG92YWojChRzdWdnZXN0LjY3eWpkaTM5MWR2eRILUGV0ciBCdXJlxaFqIwoUc3VnZ2VzdC5oZ2JrMzloNDZ5M2oSC1BldHIgQnVyZcWhaiYKFHN1Z2dlc3QuNXFiZmdzOGdyN3FnEg56dXphbmEgc3ZlZG92YWojChRzdWdnZXN0Lno1YWk2MXR1anhjNRILUGV0ciBCdXJlxaFqJgoUc3VnZ2VzdC5pYTJsdGd2NHE0bTUSDnp1emFuYSBzdmVkb3Zhah8KFHN1Z2dlc3QuZWYyZDVneHpvMWFmEgdUTksgMTM2aiIKE3N1Z2dlc3QudzAxNDc5NWUxb2ISC1BldHIgQnVyZcWhah8KFHN1Z2dlc3QueTA0amN4eXd2aWY5EgdUTksgMTM2aiYKFHN1Z2dlc3QuNmJxazBnbHRla3g4Eg56dXphbmEgc3ZlZG92YWomChRzdWdnZXN0LmJ4dzIycXVnNTlmbhIOenV6YW5hIHN2ZWRvdmFqHwoUc3VnZ2VzdC44azhpbHhqazJiNW0SB1ROSyAxMzZqIwoUc3VnZ2VzdC5wbDhxM3NsNnJ6eWgSC1BldHIgQnVyZcWhah8KFHN1Z2dlc3QuaGFwdWg5NjUxMTZpEgdUTksgMTM2aiMKFHN1Z2dlc3QuejV3aGJ1cGwwNmlmEgtQZXRyIEJ1cmXFoWomChRzdWdnZXN0LndrejU5YTQ4bGFrNBIOenV6YW5hIHN2ZWRvdmFqIwoUc3VnZ2VzdC5kN21wcW4zbmNwdWUSC1BldHIgQnVyZcWhaiYKFHN1Z2dlc3QuOWM2ZjI4Zm0waDJxEg56dXphbmEgc3ZlZG92YWomChRzdWdnZXN0LjNucnRkOWZjZnZ4chIOenV6YW5hIHN2ZWRvdmFqJgoUc3VnZ2VzdC5sazdpdWtjZTR4MngSDnp1emFuYSBzdmVkb3Zhah8KFHN1Z2dlc3QuaXVobWo2b2h2dDgyEgdUTksgMTM2aiYKFHN1Z2dlc3QuMTZlZjlod3V1N3hrEg56dXphbmEgc3ZlZG92YWomChRzdWdnZXN0Lml1bjE5dGxyd3RobxIOenV6YW5hIHN2ZWRvdmFqIwoUc3VnZ2VzdC56NzhhdjFiMnphMmgSC1BldHIgQnVyZcWhaiYKFHN1Z2dlc3QuOTAzZnplN3VrMTgwEg56dXphbmEgc3ZlZG92YWomChRzdWdnZXN0Ljc5ZDNvazd3dWM4OBIOenV6YW5hIHN2ZWRvdmFqHwoUc3VnZ2VzdC5oMWg4OHdpZmJjcGcSB1ROSyAxMzZqJgoUc3VnZ2VzdC5zMXQ3NDZ4NTF4YWESDnp1emFuYSBzdmVkb3Zhah8KFHN1Z2dlc3QuYm1nNjR3cHNxdDV1EgdUTksgMTM2aiMKFHN1Z2dlc3QueGl4eDEwNmw2OXB3EgtQZXRyIEJ1cmXFoWomChRzdWdnZXN0LmVqdmk4b3l6aWxmbBIOenV6YW5hIHN2ZWRvdmFqHgoTc3VnZ2VzdC52MWNjY3Jta3V5YxIHVE5LIDEzNmomChRzdWdnZXN0LmR2MTl4b2FxMm5yMRIOenV6YW5hIHN2ZWRvdmFqIwoUc3VnZ2VzdC55amJyajBsM3Fmb3QSC1BldHIgQnVyZcWhaiYKFHN1Z2dlc3QuZDZhbDlwYWlxanU0Eg56dXphbmEgc3ZlZG92YWomChRzdWdnZXN0Lm5oZW96ZjJhNXRhMhIOenV6YW5hIHN2ZWRvdmFqJgoUc3VnZ2VzdC40YzZiZGtnaWY0eWwSDnp1emFuYSBzdmVkb3ZhaiYKFHN1Z2dlc3QuZ2ppc3lqYW56OXJ5Eg56dXphbmEgc3ZlZG92YWofChRzdWdnZXN0LnM5NTFwNTM0cmc0aRIHVE5LIDEzNmojChRzdWdnZXN0LmM4MzFmOGw3MG5scRILUGV0ciBCdXJlxaFqJgoUc3VnZ2VzdC5tdHozNHk4M3Uxbm0SDnp1emFuYSBzdmVkb3Zhah8KFHN1Z2dlc3QudjE0MWphMnM1MzBjEgdUTksgMTM2ah8KFHN1Z2dlc3QudWh4YXpnYmZucmg5EgdUTksgMTM2aiMKFHN1Z2dlc3Quc3Vpd202cXF3NHdqEgtQZXRyIEJ1cmXFoWojChRzdWdnZXN0LmJ4OWY2OHZ0dHltMRILUGV0ciBCdXJlxaFqJgoUc3VnZ2VzdC5kZ2oyazVydngwemUSDnp1emFuYSBzdmVkb3ZhaiYKFHN1Z2dlc3QueHJpZWFheGJ6aXoyEg56dXphbmEgc3ZlZG92YWojChRzdWdnZXN0LjN6ZDBqaHBsdHIzahILUGV0ciBCdXJlxaFqIgoTc3VnZ2VzdC5zZzU2a2V6bjNvNxILUGV0ciBCdXJlxaFqJgoUc3VnZ2VzdC51OWlmbmd0dnJubmgSDnp1emFuYSBzdmVkb3ZhaiYKFHN1Z2dlc3Qua2lqb3pnazBvcDA0Eg56dXphbmEgc3ZlZG92YWomChRzdWdnZXN0LjFhbWh1MmtvdWt4dBIOenV6YW5hIHN2ZWRvdmFqIwoUc3VnZ2VzdC56Nmc4bDdpamxvamsSC1BldHIgQnVyZcWhah8KFHN1Z2dlc3QuOGdleG5rZnE3dXZsEgdUTksgMTM2aiYKFHN1Z2dlc3QuMjI5MTdpYjljM3BjEg56dXphbmEgc3ZlZG92YWofChRzdWdnZXN0LnhyOXg0MHU1ZW5rMhIHVE5LIDEzNmofChRzdWdnZXN0LmQ5cmJocnk3MThmeBIHVE5LIDEzNmojChRzdWdnZXN0Lnhnc2oxeW9qbW02NRILUGV0ciBCdXJlxaFqHwoUc3VnZ2VzdC44ZGE5OWg0M3VscXUSB1ROSyAxMzZyITFUX1I4X2g4WjJIWXdKWS1KS1lPZmc3cmczVXpSY1VDR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FEB954E-0D94-49EC-A7DA-F964CFE93C55}">
  <ds:schemaRefs>
    <ds:schemaRef ds:uri="http://schemas.openxmlformats.org/officeDocument/2006/bibliography"/>
  </ds:schemaRefs>
</ds:datastoreItem>
</file>

<file path=docMetadata/LabelInfo.xml><?xml version="1.0" encoding="utf-8"?>
<clbl:labelList xmlns:clbl="http://schemas.microsoft.com/office/2020/mipLabelMetadata">
  <clbl:label id="{1d3304e1-9e75-4102-b10b-b4a29129044f}" enabled="0" method="" siteId="{1d3304e1-9e75-4102-b10b-b4a29129044f}" removed="1"/>
</clbl:labelList>
</file>

<file path=docProps/app.xml><?xml version="1.0" encoding="utf-8"?>
<Properties xmlns="http://schemas.openxmlformats.org/officeDocument/2006/extended-properties" xmlns:vt="http://schemas.openxmlformats.org/officeDocument/2006/docPropsVTypes">
  <Template>Normal.dotm</Template>
  <TotalTime>49</TotalTime>
  <Pages>6</Pages>
  <Words>1010</Words>
  <Characters>5962</Characters>
  <Application>Microsoft Office Word</Application>
  <DocSecurity>0</DocSecurity>
  <Lines>49</Lines>
  <Paragraphs>13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Zuzana Švédová</dc:creator>
  <cp:lastModifiedBy>Windows User</cp:lastModifiedBy>
  <cp:revision>4</cp:revision>
  <cp:lastPrinted>2025-09-23T08:14:00Z</cp:lastPrinted>
  <dcterms:created xsi:type="dcterms:W3CDTF">2026-08-03T07:13:00Z</dcterms:created>
  <dcterms:modified xsi:type="dcterms:W3CDTF">2026-08-03T13:28:00Z</dcterms:modified>
</cp:coreProperties>
</file>