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02218F" w14:textId="3A123115" w:rsidR="006323C0" w:rsidRPr="00F75A3B" w:rsidRDefault="006323C0" w:rsidP="00F75A3B">
      <w:pPr>
        <w:pStyle w:val="Nzev"/>
        <w:keepNext w:val="0"/>
        <w:keepLines w:val="0"/>
        <w:spacing w:before="0" w:after="60" w:line="276" w:lineRule="auto"/>
        <w:jc w:val="center"/>
        <w:rPr>
          <w:rFonts w:eastAsia="Times New Roman"/>
          <w:b w:val="0"/>
          <w:bCs/>
          <w:color w:val="000000" w:themeColor="text1"/>
          <w:sz w:val="44"/>
          <w:szCs w:val="44"/>
          <w:lang w:val="en-GB" w:eastAsia="cs-CZ"/>
        </w:rPr>
      </w:pPr>
      <w:r w:rsidRPr="00F75A3B">
        <w:rPr>
          <w:rFonts w:eastAsia="Times New Roman"/>
          <w:b w:val="0"/>
          <w:bCs/>
          <w:color w:val="000000" w:themeColor="text1"/>
          <w:sz w:val="44"/>
          <w:szCs w:val="44"/>
          <w:lang w:val="en-GB" w:eastAsia="cs-CZ"/>
        </w:rPr>
        <w:t>EXTRACT from the Technical Standard</w:t>
      </w:r>
    </w:p>
    <w:p w14:paraId="7CCE3EDE" w14:textId="3CD5D1E6" w:rsidR="006323C0" w:rsidRPr="00505ECC" w:rsidRDefault="006323C0" w:rsidP="006323C0">
      <w:pPr>
        <w:spacing w:before="120" w:after="120"/>
        <w:jc w:val="center"/>
        <w:rPr>
          <w:b/>
          <w:i/>
          <w:color w:val="003366"/>
          <w:sz w:val="19"/>
          <w:szCs w:val="19"/>
          <w:lang w:val="en-GB"/>
        </w:rPr>
      </w:pPr>
      <w:r w:rsidRPr="00505ECC">
        <w:rPr>
          <w:b/>
          <w:i/>
          <w:color w:val="003366"/>
          <w:sz w:val="19"/>
          <w:szCs w:val="19"/>
          <w:lang w:val="en-GB"/>
        </w:rPr>
        <w:t>This Extract does not replace the technical standard itself; it is only informative material about the standard.</w:t>
      </w:r>
    </w:p>
    <w:tbl>
      <w:tblPr>
        <w:tblStyle w:val="a6"/>
        <w:tblW w:w="9915" w:type="dxa"/>
        <w:tblInd w:w="-108" w:type="dxa"/>
        <w:tblBorders>
          <w:top w:val="single" w:sz="12" w:space="0" w:color="003366"/>
          <w:bottom w:val="single" w:sz="12" w:space="0" w:color="003366"/>
        </w:tblBorders>
        <w:tblLayout w:type="fixed"/>
        <w:tblLook w:val="0000" w:firstRow="0" w:lastRow="0" w:firstColumn="0" w:lastColumn="0" w:noHBand="0" w:noVBand="0"/>
      </w:tblPr>
      <w:tblGrid>
        <w:gridCol w:w="7020"/>
        <w:gridCol w:w="2895"/>
      </w:tblGrid>
      <w:tr w:rsidR="00680D7A" w:rsidRPr="006323C0" w14:paraId="4D24FC1B" w14:textId="77777777" w:rsidTr="00F75A3B">
        <w:trPr>
          <w:trHeight w:val="1330"/>
        </w:trPr>
        <w:tc>
          <w:tcPr>
            <w:tcW w:w="7020" w:type="dxa"/>
          </w:tcPr>
          <w:p w14:paraId="4D24FC19" w14:textId="44F3F471" w:rsidR="00680D7A" w:rsidRPr="006323C0" w:rsidRDefault="00AA6FA9" w:rsidP="00D97778">
            <w:pPr>
              <w:pStyle w:val="1StrNN-2-4"/>
              <w:spacing w:before="240" w:after="240"/>
              <w:rPr>
                <w:lang w:val="en-GB"/>
              </w:rPr>
            </w:pPr>
            <w:bookmarkStart w:id="0" w:name="_heading=h.gjdgxs" w:colFirst="0" w:colLast="0"/>
            <w:bookmarkStart w:id="1" w:name="_heading=h.5j8zu6scs1uo" w:colFirst="0" w:colLast="0"/>
            <w:bookmarkEnd w:id="0"/>
            <w:bookmarkEnd w:id="1"/>
            <w:r w:rsidRPr="00AA6FA9">
              <w:rPr>
                <w:lang w:val="en-GB"/>
              </w:rPr>
              <w:t xml:space="preserve">Electronic Fee Collection – Application interface definition for dedicated </w:t>
            </w:r>
            <w:r w:rsidR="00D97778">
              <w:rPr>
                <w:lang w:val="en-GB"/>
              </w:rPr>
              <w:t>short-range communication</w:t>
            </w:r>
            <w:bookmarkStart w:id="2" w:name="_GoBack"/>
            <w:bookmarkEnd w:id="2"/>
          </w:p>
        </w:tc>
        <w:tc>
          <w:tcPr>
            <w:tcW w:w="2895" w:type="dxa"/>
          </w:tcPr>
          <w:p w14:paraId="4D24FC1A" w14:textId="382295EB" w:rsidR="00680D7A" w:rsidRPr="006323C0" w:rsidRDefault="00AA6FA9" w:rsidP="00AA6FA9">
            <w:pPr>
              <w:pStyle w:val="1StrNN-2-4"/>
              <w:spacing w:before="240" w:after="240"/>
              <w:ind w:left="345"/>
              <w:rPr>
                <w:lang w:val="en-GB"/>
              </w:rPr>
            </w:pPr>
            <w:r w:rsidRPr="00AA6FA9">
              <w:rPr>
                <w:lang w:val="en-GB"/>
              </w:rPr>
              <w:t xml:space="preserve">EN ISO </w:t>
            </w:r>
            <w:r>
              <w:rPr>
                <w:lang w:val="en-GB"/>
              </w:rPr>
              <w:t>1</w:t>
            </w:r>
            <w:r w:rsidRPr="00AA6FA9">
              <w:rPr>
                <w:lang w:val="en-GB"/>
              </w:rPr>
              <w:t>4906</w:t>
            </w:r>
            <w:r w:rsidR="0047356D" w:rsidRPr="006323C0">
              <w:rPr>
                <w:lang w:val="en-GB"/>
              </w:rPr>
              <w:br/>
            </w:r>
          </w:p>
        </w:tc>
      </w:tr>
    </w:tbl>
    <w:p w14:paraId="4D24FC1C" w14:textId="2758E50A" w:rsidR="00680D7A" w:rsidRPr="00E01E87" w:rsidRDefault="00A05664">
      <w:pPr>
        <w:keepNext/>
        <w:keepLines/>
        <w:tabs>
          <w:tab w:val="right" w:pos="9923"/>
        </w:tabs>
        <w:spacing w:before="240" w:after="360"/>
        <w:jc w:val="right"/>
        <w:rPr>
          <w:sz w:val="22"/>
          <w:szCs w:val="22"/>
          <w:lang w:val="en-GB"/>
        </w:rPr>
      </w:pPr>
      <w:r w:rsidRPr="00E01E87">
        <w:rPr>
          <w:sz w:val="22"/>
          <w:szCs w:val="22"/>
          <w:lang w:val="en-GB"/>
        </w:rPr>
        <w:t>Published in 20</w:t>
      </w:r>
      <w:r w:rsidR="00AA6FA9">
        <w:rPr>
          <w:sz w:val="22"/>
          <w:szCs w:val="22"/>
          <w:lang w:val="en-GB"/>
        </w:rPr>
        <w:t>22</w:t>
      </w:r>
      <w:r w:rsidR="009279F8">
        <w:rPr>
          <w:sz w:val="22"/>
          <w:szCs w:val="22"/>
          <w:lang w:val="en-GB"/>
        </w:rPr>
        <w:t xml:space="preserve"> (Edition </w:t>
      </w:r>
      <w:r w:rsidR="00AA6FA9">
        <w:rPr>
          <w:sz w:val="22"/>
          <w:szCs w:val="22"/>
          <w:lang w:val="en-GB"/>
        </w:rPr>
        <w:t>4</w:t>
      </w:r>
      <w:r w:rsidR="009279F8">
        <w:rPr>
          <w:sz w:val="22"/>
          <w:szCs w:val="22"/>
          <w:lang w:val="en-GB"/>
        </w:rPr>
        <w:t>)</w:t>
      </w:r>
      <w:r w:rsidRPr="00E01E87">
        <w:rPr>
          <w:sz w:val="22"/>
          <w:szCs w:val="22"/>
          <w:lang w:val="en-GB"/>
        </w:rPr>
        <w:t>, 1</w:t>
      </w:r>
      <w:r w:rsidR="00AA6FA9">
        <w:rPr>
          <w:sz w:val="22"/>
          <w:szCs w:val="22"/>
          <w:lang w:val="en-GB"/>
        </w:rPr>
        <w:t>21</w:t>
      </w:r>
      <w:r w:rsidRPr="00E01E87">
        <w:rPr>
          <w:sz w:val="22"/>
          <w:szCs w:val="22"/>
          <w:lang w:val="en-GB"/>
        </w:rPr>
        <w:t xml:space="preserve"> pages</w:t>
      </w:r>
    </w:p>
    <w:p w14:paraId="06D0DCB4" w14:textId="77777777" w:rsidR="00DD7DE0" w:rsidRDefault="00DD7DE0" w:rsidP="006323C0">
      <w:pPr>
        <w:pStyle w:val="Nadpis1"/>
      </w:pPr>
    </w:p>
    <w:p w14:paraId="4D24FC1D" w14:textId="46AF4851" w:rsidR="00680D7A" w:rsidRPr="006323C0" w:rsidRDefault="00A05664" w:rsidP="006323C0">
      <w:pPr>
        <w:pStyle w:val="Nadpis1"/>
      </w:pPr>
      <w:r w:rsidRPr="006323C0">
        <w:t>Introduction</w:t>
      </w:r>
    </w:p>
    <w:p w14:paraId="4D24FC20" w14:textId="1BF1FF69" w:rsidR="00AE1879" w:rsidRDefault="00AA6FA9" w:rsidP="009279F8">
      <w:pPr>
        <w:pBdr>
          <w:top w:val="none" w:sz="4" w:space="0" w:color="000000"/>
          <w:left w:val="none" w:sz="4" w:space="0" w:color="000000"/>
          <w:bottom w:val="none" w:sz="4" w:space="2" w:color="000000"/>
          <w:right w:val="none" w:sz="4" w:space="0" w:color="000000"/>
        </w:pBdr>
        <w:spacing w:after="0" w:line="276" w:lineRule="auto"/>
        <w:jc w:val="both"/>
        <w:rPr>
          <w:rFonts w:eastAsia="Times New Roman" w:cs="Times New Roman"/>
          <w:lang w:val="en-GB" w:eastAsia="cs-CZ"/>
        </w:rPr>
      </w:pPr>
      <w:bookmarkStart w:id="3" w:name="_heading=h.30j0zll" w:colFirst="0" w:colLast="0"/>
      <w:bookmarkStart w:id="4" w:name="_heading=h.uhf97r8598qg" w:colFirst="0" w:colLast="0"/>
      <w:bookmarkStart w:id="5" w:name="_heading=h.vl1eyo35ydz8" w:colFirst="0" w:colLast="0"/>
      <w:bookmarkEnd w:id="3"/>
      <w:bookmarkEnd w:id="4"/>
      <w:bookmarkEnd w:id="5"/>
      <w:r w:rsidRPr="00AA6FA9">
        <w:rPr>
          <w:rFonts w:eastAsia="Times New Roman" w:cs="Times New Roman"/>
          <w:lang w:val="en-GB" w:eastAsia="cs-CZ"/>
        </w:rPr>
        <w:t>This technical standard (hereinafter also referred to as the "described document") specifies the application interface for electronic fee collection (EFC) systems utilizing dedicated short-range communication (DSRC). Specifically, it establishes the technical conditions for the EFC transaction model, EFC functions, and EFC data attributes from which an EFC transaction can be created in a DSRC environment.</w:t>
      </w:r>
    </w:p>
    <w:p w14:paraId="26AF57EA" w14:textId="7BD9FB49" w:rsidR="009279F8" w:rsidRPr="00AC1B7B" w:rsidRDefault="009279F8" w:rsidP="009279F8">
      <w:pPr>
        <w:spacing w:line="276" w:lineRule="auto"/>
        <w:rPr>
          <w:i/>
          <w:color w:val="003366"/>
        </w:rPr>
      </w:pPr>
      <w:proofErr w:type="spellStart"/>
      <w:r w:rsidRPr="00AC1B7B">
        <w:rPr>
          <w:i/>
          <w:color w:val="003366"/>
        </w:rPr>
        <w:t>Note</w:t>
      </w:r>
      <w:proofErr w:type="spellEnd"/>
      <w:r w:rsidRPr="00AC1B7B">
        <w:rPr>
          <w:i/>
          <w:color w:val="003366"/>
        </w:rPr>
        <w:t xml:space="preserve">: </w:t>
      </w:r>
      <w:proofErr w:type="spellStart"/>
      <w:r w:rsidRPr="00AC1B7B">
        <w:rPr>
          <w:i/>
          <w:color w:val="003366"/>
        </w:rPr>
        <w:t>This</w:t>
      </w:r>
      <w:proofErr w:type="spellEnd"/>
      <w:r w:rsidRPr="00AC1B7B">
        <w:rPr>
          <w:i/>
          <w:color w:val="003366"/>
        </w:rPr>
        <w:t xml:space="preserve"> </w:t>
      </w:r>
      <w:proofErr w:type="spellStart"/>
      <w:r w:rsidRPr="00AC1B7B">
        <w:rPr>
          <w:i/>
          <w:color w:val="003366"/>
        </w:rPr>
        <w:t>Extract</w:t>
      </w:r>
      <w:proofErr w:type="spellEnd"/>
      <w:r w:rsidRPr="00AC1B7B">
        <w:rPr>
          <w:i/>
          <w:color w:val="003366"/>
        </w:rPr>
        <w:t xml:space="preserve"> </w:t>
      </w:r>
      <w:proofErr w:type="spellStart"/>
      <w:r w:rsidRPr="00AC1B7B">
        <w:rPr>
          <w:i/>
          <w:color w:val="003366"/>
        </w:rPr>
        <w:t>presents</w:t>
      </w:r>
      <w:proofErr w:type="spellEnd"/>
      <w:r w:rsidRPr="00AC1B7B">
        <w:rPr>
          <w:i/>
          <w:color w:val="003366"/>
        </w:rPr>
        <w:t xml:space="preserve"> </w:t>
      </w:r>
      <w:proofErr w:type="spellStart"/>
      <w:r w:rsidRPr="00AC1B7B">
        <w:rPr>
          <w:i/>
          <w:color w:val="003366"/>
        </w:rPr>
        <w:t>selected</w:t>
      </w:r>
      <w:proofErr w:type="spellEnd"/>
      <w:r w:rsidRPr="00AC1B7B">
        <w:rPr>
          <w:i/>
          <w:color w:val="003366"/>
        </w:rPr>
        <w:t xml:space="preserve"> </w:t>
      </w:r>
      <w:proofErr w:type="spellStart"/>
      <w:r w:rsidRPr="00AC1B7B">
        <w:rPr>
          <w:i/>
          <w:color w:val="003366"/>
        </w:rPr>
        <w:t>chapters</w:t>
      </w:r>
      <w:proofErr w:type="spellEnd"/>
      <w:r w:rsidRPr="00AC1B7B">
        <w:rPr>
          <w:i/>
          <w:color w:val="003366"/>
        </w:rPr>
        <w:t xml:space="preserve"> </w:t>
      </w:r>
      <w:proofErr w:type="spellStart"/>
      <w:r w:rsidRPr="00AC1B7B">
        <w:rPr>
          <w:i/>
          <w:color w:val="003366"/>
        </w:rPr>
        <w:t>of</w:t>
      </w:r>
      <w:proofErr w:type="spellEnd"/>
      <w:r w:rsidRPr="00AC1B7B">
        <w:rPr>
          <w:i/>
          <w:color w:val="003366"/>
        </w:rPr>
        <w:t xml:space="preserve"> </w:t>
      </w:r>
      <w:proofErr w:type="spellStart"/>
      <w:r w:rsidRPr="00AC1B7B">
        <w:rPr>
          <w:i/>
          <w:color w:val="003366"/>
        </w:rPr>
        <w:t>the</w:t>
      </w:r>
      <w:proofErr w:type="spellEnd"/>
      <w:r w:rsidRPr="00AC1B7B">
        <w:rPr>
          <w:i/>
          <w:color w:val="003366"/>
        </w:rPr>
        <w:t xml:space="preserve"> </w:t>
      </w:r>
      <w:proofErr w:type="spellStart"/>
      <w:r w:rsidRPr="00AC1B7B">
        <w:rPr>
          <w:i/>
          <w:color w:val="003366"/>
        </w:rPr>
        <w:t>described</w:t>
      </w:r>
      <w:proofErr w:type="spellEnd"/>
      <w:r w:rsidRPr="00AC1B7B">
        <w:rPr>
          <w:i/>
          <w:color w:val="003366"/>
        </w:rPr>
        <w:t xml:space="preserve"> </w:t>
      </w:r>
      <w:proofErr w:type="spellStart"/>
      <w:r w:rsidRPr="00AC1B7B">
        <w:rPr>
          <w:i/>
          <w:color w:val="003366"/>
        </w:rPr>
        <w:t>document</w:t>
      </w:r>
      <w:proofErr w:type="spellEnd"/>
      <w:r w:rsidRPr="00AC1B7B">
        <w:rPr>
          <w:i/>
          <w:color w:val="003366"/>
        </w:rPr>
        <w:t xml:space="preserve"> and </w:t>
      </w:r>
      <w:proofErr w:type="spellStart"/>
      <w:r w:rsidRPr="00AC1B7B">
        <w:rPr>
          <w:i/>
          <w:color w:val="003366"/>
        </w:rPr>
        <w:t>retains</w:t>
      </w:r>
      <w:proofErr w:type="spellEnd"/>
      <w:r w:rsidRPr="00AC1B7B">
        <w:rPr>
          <w:i/>
          <w:color w:val="003366"/>
        </w:rPr>
        <w:t xml:space="preserve"> </w:t>
      </w:r>
      <w:proofErr w:type="spellStart"/>
      <w:r w:rsidRPr="00AC1B7B">
        <w:rPr>
          <w:i/>
          <w:color w:val="003366"/>
        </w:rPr>
        <w:t>the</w:t>
      </w:r>
      <w:proofErr w:type="spellEnd"/>
      <w:r w:rsidRPr="00AC1B7B">
        <w:rPr>
          <w:i/>
          <w:color w:val="003366"/>
        </w:rPr>
        <w:t xml:space="preserve"> </w:t>
      </w:r>
      <w:proofErr w:type="spellStart"/>
      <w:r w:rsidRPr="00AC1B7B">
        <w:rPr>
          <w:i/>
          <w:color w:val="003366"/>
        </w:rPr>
        <w:t>original</w:t>
      </w:r>
      <w:proofErr w:type="spellEnd"/>
      <w:r w:rsidRPr="00AC1B7B">
        <w:rPr>
          <w:i/>
          <w:color w:val="003366"/>
        </w:rPr>
        <w:t xml:space="preserve"> </w:t>
      </w:r>
      <w:proofErr w:type="spellStart"/>
      <w:r w:rsidRPr="00AC1B7B">
        <w:rPr>
          <w:i/>
          <w:color w:val="003366"/>
        </w:rPr>
        <w:t>chapter</w:t>
      </w:r>
      <w:proofErr w:type="spellEnd"/>
      <w:r w:rsidRPr="00AC1B7B">
        <w:rPr>
          <w:i/>
          <w:color w:val="003366"/>
        </w:rPr>
        <w:t xml:space="preserve"> </w:t>
      </w:r>
      <w:proofErr w:type="spellStart"/>
      <w:r w:rsidRPr="00AC1B7B">
        <w:rPr>
          <w:i/>
          <w:color w:val="003366"/>
        </w:rPr>
        <w:t>numbering</w:t>
      </w:r>
      <w:proofErr w:type="spellEnd"/>
      <w:r w:rsidRPr="00AC1B7B">
        <w:rPr>
          <w:i/>
          <w:color w:val="003366"/>
        </w:rPr>
        <w:t>.</w:t>
      </w:r>
    </w:p>
    <w:p w14:paraId="4D24FC22" w14:textId="56519C61" w:rsidR="00AE1879" w:rsidRPr="006323C0" w:rsidRDefault="00AE1879" w:rsidP="006323C0">
      <w:pPr>
        <w:pStyle w:val="Nadpis1"/>
      </w:pPr>
      <w:r w:rsidRPr="006323C0">
        <w:t>Usage</w:t>
      </w:r>
    </w:p>
    <w:p w14:paraId="4D24FC25" w14:textId="74429468" w:rsidR="00AE1879" w:rsidRPr="006323C0" w:rsidRDefault="00AA6FA9" w:rsidP="006323C0">
      <w:pPr>
        <w:pBdr>
          <w:top w:val="none" w:sz="4" w:space="0" w:color="000000"/>
          <w:left w:val="none" w:sz="4" w:space="0" w:color="000000"/>
          <w:bottom w:val="none" w:sz="4" w:space="0" w:color="000000"/>
          <w:right w:val="none" w:sz="4" w:space="0" w:color="000000"/>
        </w:pBdr>
        <w:spacing w:after="0" w:line="276" w:lineRule="auto"/>
        <w:jc w:val="both"/>
        <w:rPr>
          <w:rFonts w:eastAsia="Times New Roman" w:cs="Times New Roman"/>
          <w:lang w:val="en-GB" w:eastAsia="cs-CZ"/>
        </w:rPr>
      </w:pPr>
      <w:r w:rsidRPr="00AA6FA9">
        <w:rPr>
          <w:rFonts w:eastAsia="Times New Roman" w:cs="Times New Roman"/>
          <w:lang w:val="en-GB" w:eastAsia="cs-CZ"/>
        </w:rPr>
        <w:t>The described document is intended for operators of toll systems built on DSRC technology as well as for toll service providers. The described document establishes the basic elements of mutual interoperability of electronic fee collection system components, specifically on-board equipment (OBE) and roadside equipment (RSE). The EFC data definitions contained in this document may also be used by other applications and communication interfaces beyond DSRC.</w:t>
      </w:r>
    </w:p>
    <w:p w14:paraId="4D24FC26" w14:textId="3466112E" w:rsidR="00680D7A" w:rsidRPr="006323C0" w:rsidRDefault="00051089" w:rsidP="006323C0">
      <w:pPr>
        <w:pStyle w:val="Nadpis1"/>
      </w:pPr>
      <w:r w:rsidRPr="006323C0">
        <w:t>Scope</w:t>
      </w:r>
    </w:p>
    <w:p w14:paraId="226798E8" w14:textId="77777777" w:rsidR="00AA6FA9" w:rsidRPr="00E07021" w:rsidRDefault="00AA6FA9" w:rsidP="00AA6FA9">
      <w:pPr>
        <w:rPr>
          <w:lang w:val="en-US"/>
        </w:rPr>
      </w:pPr>
      <w:r w:rsidRPr="00E07021">
        <w:rPr>
          <w:lang w:val="en-US"/>
        </w:rPr>
        <w:t>The described document specifies the application interface for electronic fee collection systems that utilize DSRC technology. The application interface represents the interface of the EFC application process to the DSRC application layer, as illustrated in Figure 1. The document provides specifications for:</w:t>
      </w:r>
    </w:p>
    <w:p w14:paraId="7B61CA6E" w14:textId="77777777" w:rsidR="00AA6FA9" w:rsidRPr="00E07021" w:rsidRDefault="00AA6FA9" w:rsidP="00AA6FA9">
      <w:pPr>
        <w:pStyle w:val="Odstavecseseznamem"/>
        <w:numPr>
          <w:ilvl w:val="0"/>
          <w:numId w:val="5"/>
        </w:numPr>
        <w:spacing w:after="120"/>
        <w:jc w:val="both"/>
        <w:rPr>
          <w:lang w:val="en-US"/>
        </w:rPr>
      </w:pPr>
      <w:r w:rsidRPr="00E07021">
        <w:rPr>
          <w:lang w:val="en-US"/>
        </w:rPr>
        <w:t>EFC data attributes, i.e., information about the EFC application</w:t>
      </w:r>
      <w:r>
        <w:rPr>
          <w:lang w:val="en-US"/>
        </w:rPr>
        <w:t xml:space="preserve">, </w:t>
      </w:r>
      <w:r w:rsidRPr="00573CA6">
        <w:rPr>
          <w:lang w:val="en-US"/>
        </w:rPr>
        <w:t>which may also be used by other applications and interfaces</w:t>
      </w:r>
      <w:r w:rsidRPr="00E07021">
        <w:rPr>
          <w:lang w:val="en-US"/>
        </w:rPr>
        <w:t>;</w:t>
      </w:r>
    </w:p>
    <w:p w14:paraId="719FC91B" w14:textId="77777777" w:rsidR="00AA6FA9" w:rsidRPr="00E07021" w:rsidRDefault="00AA6FA9" w:rsidP="00AA6FA9">
      <w:pPr>
        <w:pStyle w:val="Odstavecseseznamem"/>
        <w:numPr>
          <w:ilvl w:val="0"/>
          <w:numId w:val="5"/>
        </w:numPr>
        <w:spacing w:after="120"/>
        <w:jc w:val="both"/>
        <w:rPr>
          <w:lang w:val="en-US"/>
        </w:rPr>
      </w:pPr>
      <w:r w:rsidRPr="00E07021">
        <w:rPr>
          <w:lang w:val="en-US"/>
        </w:rPr>
        <w:t>procedures for addressing attributes and (hardware) EFC components (e.g., ICC and MMI);</w:t>
      </w:r>
    </w:p>
    <w:p w14:paraId="19F3076C" w14:textId="77777777" w:rsidR="00AA6FA9" w:rsidRPr="00E07021" w:rsidRDefault="00AA6FA9" w:rsidP="00AA6FA9">
      <w:pPr>
        <w:pStyle w:val="Odstavecseseznamem"/>
        <w:numPr>
          <w:ilvl w:val="0"/>
          <w:numId w:val="5"/>
        </w:numPr>
        <w:spacing w:after="120"/>
        <w:jc w:val="both"/>
        <w:rPr>
          <w:lang w:val="en-US"/>
        </w:rPr>
      </w:pPr>
      <w:r w:rsidRPr="00E07021">
        <w:rPr>
          <w:lang w:val="en-US"/>
        </w:rPr>
        <w:t>EFC application functions, i.e., further qualification of actions through definitions of respective services;</w:t>
      </w:r>
    </w:p>
    <w:p w14:paraId="1B708265" w14:textId="77777777" w:rsidR="00AA6FA9" w:rsidRPr="00E07021" w:rsidRDefault="00AA6FA9" w:rsidP="00AA6FA9">
      <w:pPr>
        <w:pStyle w:val="Odstavecseseznamem"/>
        <w:numPr>
          <w:ilvl w:val="0"/>
          <w:numId w:val="5"/>
        </w:numPr>
        <w:spacing w:after="120"/>
        <w:jc w:val="both"/>
        <w:rPr>
          <w:lang w:val="en-US"/>
        </w:rPr>
      </w:pPr>
      <w:r w:rsidRPr="00E07021">
        <w:rPr>
          <w:lang w:val="en-US"/>
        </w:rPr>
        <w:t>the EFC transaction model defining common elements and steps of any EFC transaction;</w:t>
      </w:r>
    </w:p>
    <w:p w14:paraId="46470D18" w14:textId="7B007797" w:rsidR="00AA6FA9" w:rsidRDefault="00AA6FA9" w:rsidP="00AA6FA9">
      <w:pPr>
        <w:pStyle w:val="Odstavecseseznamem"/>
        <w:numPr>
          <w:ilvl w:val="0"/>
          <w:numId w:val="5"/>
        </w:numPr>
        <w:spacing w:after="120"/>
        <w:jc w:val="both"/>
        <w:rPr>
          <w:lang w:val="en-US"/>
        </w:rPr>
      </w:pPr>
      <w:proofErr w:type="gramStart"/>
      <w:r w:rsidRPr="00E07021">
        <w:rPr>
          <w:lang w:val="en-US"/>
        </w:rPr>
        <w:t>interface</w:t>
      </w:r>
      <w:proofErr w:type="gramEnd"/>
      <w:r w:rsidRPr="00E07021">
        <w:rPr>
          <w:lang w:val="en-US"/>
        </w:rPr>
        <w:t xml:space="preserve"> behavior to ensure interoperability at the EFC application level and</w:t>
      </w:r>
      <w:r>
        <w:rPr>
          <w:lang w:val="en-US"/>
        </w:rPr>
        <w:t xml:space="preserve"> the DSRC application </w:t>
      </w:r>
      <w:proofErr w:type="spellStart"/>
      <w:r>
        <w:rPr>
          <w:lang w:val="en-US"/>
        </w:rPr>
        <w:t>inteface</w:t>
      </w:r>
      <w:proofErr w:type="spellEnd"/>
      <w:r>
        <w:rPr>
          <w:lang w:val="en-US"/>
        </w:rPr>
        <w:t>.</w:t>
      </w:r>
    </w:p>
    <w:p w14:paraId="78FFC128" w14:textId="77777777" w:rsidR="00FF629B" w:rsidRDefault="00FF629B" w:rsidP="00FF629B">
      <w:pPr>
        <w:jc w:val="center"/>
        <w:rPr>
          <w:b/>
          <w:color w:val="auto"/>
          <w:lang w:val="en-GB"/>
        </w:rPr>
      </w:pPr>
      <w:r>
        <w:rPr>
          <w:noProof/>
          <w:lang w:val="cs-CZ" w:eastAsia="cs-CZ"/>
        </w:rPr>
        <w:drawing>
          <wp:inline distT="0" distB="0" distL="0" distR="0" wp14:anchorId="217D0EF9" wp14:editId="6CD17B70">
            <wp:extent cx="6370083" cy="3420533"/>
            <wp:effectExtent l="0" t="0" r="0" b="889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30962" cy="3453223"/>
                    </a:xfrm>
                    <a:prstGeom prst="rect">
                      <a:avLst/>
                    </a:prstGeom>
                  </pic:spPr>
                </pic:pic>
              </a:graphicData>
            </a:graphic>
          </wp:inline>
        </w:drawing>
      </w:r>
    </w:p>
    <w:p w14:paraId="7318E9DE" w14:textId="04A99683" w:rsidR="00AA6FA9" w:rsidRPr="00AA6FA9" w:rsidRDefault="00AA6FA9" w:rsidP="00FF629B">
      <w:pPr>
        <w:jc w:val="center"/>
        <w:rPr>
          <w:b/>
          <w:color w:val="auto"/>
          <w:lang w:val="en-GB"/>
        </w:rPr>
      </w:pPr>
      <w:r w:rsidRPr="00AA6FA9">
        <w:rPr>
          <w:b/>
          <w:color w:val="auto"/>
          <w:lang w:val="en-GB"/>
        </w:rPr>
        <w:t xml:space="preserve">Figure </w:t>
      </w:r>
      <w:r w:rsidRPr="00AA6FA9">
        <w:rPr>
          <w:b/>
          <w:color w:val="auto"/>
          <w:lang w:val="en-GB"/>
        </w:rPr>
        <w:fldChar w:fldCharType="begin"/>
      </w:r>
      <w:r w:rsidRPr="00AA6FA9">
        <w:rPr>
          <w:b/>
          <w:color w:val="auto"/>
          <w:lang w:val="en-GB"/>
        </w:rPr>
        <w:instrText xml:space="preserve"> SEQ Obrázek \* ARABIC </w:instrText>
      </w:r>
      <w:r w:rsidRPr="00AA6FA9">
        <w:rPr>
          <w:b/>
          <w:color w:val="auto"/>
          <w:lang w:val="en-GB"/>
        </w:rPr>
        <w:fldChar w:fldCharType="separate"/>
      </w:r>
      <w:proofErr w:type="gramStart"/>
      <w:r w:rsidRPr="00AA6FA9">
        <w:rPr>
          <w:b/>
          <w:color w:val="auto"/>
          <w:lang w:val="en-GB"/>
        </w:rPr>
        <w:t>1</w:t>
      </w:r>
      <w:proofErr w:type="gramEnd"/>
      <w:r w:rsidRPr="00AA6FA9">
        <w:rPr>
          <w:b/>
          <w:color w:val="auto"/>
          <w:lang w:val="en-GB"/>
        </w:rPr>
        <w:fldChar w:fldCharType="end"/>
      </w:r>
      <w:r w:rsidRPr="00AA6FA9">
        <w:rPr>
          <w:b/>
          <w:color w:val="auto"/>
          <w:lang w:val="en-GB"/>
        </w:rPr>
        <w:t xml:space="preserve"> – Scope of the </w:t>
      </w:r>
      <w:r w:rsidR="00DD7DE0">
        <w:rPr>
          <w:b/>
          <w:color w:val="auto"/>
          <w:lang w:val="en-GB"/>
        </w:rPr>
        <w:t>described</w:t>
      </w:r>
      <w:r w:rsidRPr="00AA6FA9">
        <w:rPr>
          <w:b/>
          <w:color w:val="auto"/>
          <w:lang w:val="en-GB"/>
        </w:rPr>
        <w:t xml:space="preserve"> </w:t>
      </w:r>
      <w:r w:rsidR="00DD7DE0">
        <w:rPr>
          <w:b/>
          <w:color w:val="auto"/>
          <w:lang w:val="en-GB"/>
        </w:rPr>
        <w:t>technical standard</w:t>
      </w:r>
      <w:r w:rsidRPr="00AA6FA9">
        <w:rPr>
          <w:b/>
          <w:color w:val="auto"/>
          <w:lang w:val="en-GB"/>
        </w:rPr>
        <w:t xml:space="preserve"> (Fig. 1 of the source standard)</w:t>
      </w:r>
    </w:p>
    <w:p w14:paraId="0D25AEB6" w14:textId="44A0E224" w:rsidR="00DC1907" w:rsidRPr="006323C0" w:rsidRDefault="00DC1907" w:rsidP="006323C0">
      <w:pPr>
        <w:pStyle w:val="Nadpis1"/>
      </w:pPr>
      <w:r w:rsidRPr="006323C0">
        <w:lastRenderedPageBreak/>
        <w:t xml:space="preserve">Related </w:t>
      </w:r>
      <w:r w:rsidR="00FF629B">
        <w:t>d</w:t>
      </w:r>
      <w:r w:rsidRPr="006323C0">
        <w:t>ocuments (</w:t>
      </w:r>
      <w:r w:rsidR="00FF629B">
        <w:t>s</w:t>
      </w:r>
      <w:r w:rsidRPr="006323C0">
        <w:t>election)</w:t>
      </w:r>
    </w:p>
    <w:p w14:paraId="594CE8BC" w14:textId="5169C025" w:rsidR="00AA6FA9" w:rsidRPr="00200A72" w:rsidRDefault="00AA6FA9" w:rsidP="00200A72">
      <w:pPr>
        <w:widowControl w:val="0"/>
        <w:spacing w:before="120" w:after="120" w:line="276" w:lineRule="auto"/>
        <w:rPr>
          <w:bCs/>
          <w:color w:val="auto"/>
          <w:lang w:val="en-GB"/>
        </w:rPr>
      </w:pPr>
      <w:r w:rsidRPr="00200A72">
        <w:rPr>
          <w:bCs/>
          <w:color w:val="auto"/>
          <w:lang w:val="en-GB"/>
        </w:rPr>
        <w:t>The described document refers to 13 technical standards, the most important of which are:</w:t>
      </w:r>
    </w:p>
    <w:p w14:paraId="76895480" w14:textId="66E7C389" w:rsidR="00AA6FA9" w:rsidRPr="00200A72" w:rsidRDefault="00AA6FA9" w:rsidP="00200A72">
      <w:pPr>
        <w:widowControl w:val="0"/>
        <w:spacing w:before="120" w:after="120" w:line="276" w:lineRule="auto"/>
        <w:rPr>
          <w:bCs/>
          <w:color w:val="auto"/>
          <w:lang w:val="en-GB"/>
        </w:rPr>
      </w:pPr>
      <w:r w:rsidRPr="00200A72">
        <w:rPr>
          <w:bCs/>
          <w:color w:val="auto"/>
          <w:lang w:val="en-GB"/>
        </w:rPr>
        <w:t>ISO/IEC 9797-1, Information technology – Security techniques – Message Authentication Codes (MACs) — Part 1: Mechanisms using a block cipher</w:t>
      </w:r>
    </w:p>
    <w:p w14:paraId="0D7BBB66" w14:textId="77777777" w:rsidR="00AA6FA9" w:rsidRPr="00200A72" w:rsidRDefault="00AA6FA9" w:rsidP="00200A72">
      <w:pPr>
        <w:widowControl w:val="0"/>
        <w:spacing w:before="120" w:after="120" w:line="276" w:lineRule="auto"/>
        <w:rPr>
          <w:bCs/>
          <w:color w:val="auto"/>
          <w:lang w:val="en-GB"/>
        </w:rPr>
      </w:pPr>
      <w:r w:rsidRPr="00200A72">
        <w:rPr>
          <w:bCs/>
          <w:color w:val="auto"/>
          <w:lang w:val="en-GB"/>
        </w:rPr>
        <w:t xml:space="preserve">ISO 15628, </w:t>
      </w:r>
      <w:proofErr w:type="gramStart"/>
      <w:r w:rsidRPr="00200A72">
        <w:rPr>
          <w:bCs/>
          <w:color w:val="auto"/>
          <w:lang w:val="en-GB"/>
        </w:rPr>
        <w:t>Intelligent</w:t>
      </w:r>
      <w:proofErr w:type="gramEnd"/>
      <w:r w:rsidRPr="00200A72">
        <w:rPr>
          <w:bCs/>
          <w:color w:val="auto"/>
          <w:lang w:val="en-GB"/>
        </w:rPr>
        <w:t xml:space="preserve"> transport systems — Dedicated Short-Range Communication (DSRC) – Application layer</w:t>
      </w:r>
    </w:p>
    <w:p w14:paraId="5ED0E622" w14:textId="77777777" w:rsidR="00AA6FA9" w:rsidRPr="00200A72" w:rsidRDefault="00AA6FA9" w:rsidP="00200A72">
      <w:pPr>
        <w:widowControl w:val="0"/>
        <w:spacing w:before="120" w:after="120" w:line="276" w:lineRule="auto"/>
        <w:rPr>
          <w:bCs/>
          <w:color w:val="auto"/>
          <w:lang w:val="en-GB"/>
        </w:rPr>
      </w:pPr>
      <w:r w:rsidRPr="00200A72">
        <w:rPr>
          <w:bCs/>
          <w:color w:val="auto"/>
          <w:lang w:val="en-GB"/>
        </w:rPr>
        <w:t>ISO 17573-3, Electronic fee collection — System architecture for vehicle-related tolling — Part 3: Data dictionary</w:t>
      </w:r>
    </w:p>
    <w:p w14:paraId="61FC0BCF" w14:textId="77777777" w:rsidR="00AA6FA9" w:rsidRPr="00200A72" w:rsidRDefault="00AA6FA9" w:rsidP="00200A72">
      <w:pPr>
        <w:widowControl w:val="0"/>
        <w:spacing w:before="120" w:after="120" w:line="276" w:lineRule="auto"/>
        <w:rPr>
          <w:bCs/>
          <w:color w:val="auto"/>
          <w:lang w:val="en-GB"/>
        </w:rPr>
      </w:pPr>
      <w:r w:rsidRPr="00200A72">
        <w:rPr>
          <w:bCs/>
          <w:color w:val="auto"/>
          <w:lang w:val="en-GB"/>
        </w:rPr>
        <w:t>ISO/IEC 18033-3, Information technology — Security techniques — Encryption algorithms — Part 3: Block ciphers</w:t>
      </w:r>
    </w:p>
    <w:p w14:paraId="460E4832" w14:textId="77777777" w:rsidR="00AA6FA9" w:rsidRPr="00E07021" w:rsidRDefault="00AA6FA9" w:rsidP="00AA6FA9">
      <w:pPr>
        <w:pStyle w:val="Nadpis1"/>
        <w:jc w:val="both"/>
        <w:rPr>
          <w:lang w:val="en-US"/>
        </w:rPr>
      </w:pPr>
      <w:r w:rsidRPr="00E07021">
        <w:rPr>
          <w:lang w:val="en-US"/>
        </w:rPr>
        <w:t>3 Terms and Definitions</w:t>
      </w:r>
    </w:p>
    <w:p w14:paraId="2CF47969" w14:textId="77777777" w:rsidR="00AA6FA9" w:rsidRPr="00BE7E58" w:rsidRDefault="00AA6FA9" w:rsidP="00BE7E58">
      <w:pPr>
        <w:widowControl w:val="0"/>
        <w:spacing w:after="120" w:line="276" w:lineRule="auto"/>
        <w:jc w:val="both"/>
        <w:rPr>
          <w:color w:val="auto"/>
          <w:lang w:val="en-GB"/>
        </w:rPr>
      </w:pPr>
      <w:r w:rsidRPr="00BE7E58">
        <w:rPr>
          <w:color w:val="auto"/>
          <w:lang w:val="en-GB"/>
        </w:rPr>
        <w:t>This clause contains 17 terms and definitions related to the described document, the most important of which are:</w:t>
      </w:r>
    </w:p>
    <w:p w14:paraId="39E2836B" w14:textId="77777777" w:rsidR="00AA6FA9" w:rsidRPr="00BE7E58" w:rsidRDefault="00AA6FA9" w:rsidP="00BE7E58">
      <w:pPr>
        <w:widowControl w:val="0"/>
        <w:spacing w:after="120" w:line="276" w:lineRule="auto"/>
        <w:jc w:val="both"/>
        <w:rPr>
          <w:color w:val="auto"/>
          <w:lang w:val="en-GB"/>
        </w:rPr>
      </w:pPr>
      <w:proofErr w:type="gramStart"/>
      <w:r w:rsidRPr="00BE7E58">
        <w:rPr>
          <w:b/>
          <w:color w:val="auto"/>
          <w:lang w:val="en-GB"/>
        </w:rPr>
        <w:t>attribute</w:t>
      </w:r>
      <w:proofErr w:type="gramEnd"/>
      <w:r w:rsidRPr="00BE7E58">
        <w:rPr>
          <w:color w:val="auto"/>
          <w:lang w:val="en-GB"/>
        </w:rPr>
        <w:t xml:space="preserve"> – an addressed data packet consisting of one or a sequence of multiple data elements</w:t>
      </w:r>
    </w:p>
    <w:p w14:paraId="41D86448" w14:textId="77777777" w:rsidR="00AA6FA9" w:rsidRPr="00BE7E58" w:rsidRDefault="00AA6FA9" w:rsidP="00BE7E58">
      <w:pPr>
        <w:widowControl w:val="0"/>
        <w:spacing w:after="120" w:line="276" w:lineRule="auto"/>
        <w:jc w:val="both"/>
        <w:rPr>
          <w:color w:val="auto"/>
          <w:lang w:val="en-GB"/>
        </w:rPr>
      </w:pPr>
      <w:proofErr w:type="gramStart"/>
      <w:r w:rsidRPr="00BE7E58">
        <w:rPr>
          <w:b/>
          <w:color w:val="auto"/>
          <w:lang w:val="en-GB"/>
        </w:rPr>
        <w:t>on-board</w:t>
      </w:r>
      <w:proofErr w:type="gramEnd"/>
      <w:r w:rsidRPr="00BE7E58">
        <w:rPr>
          <w:b/>
          <w:color w:val="auto"/>
          <w:lang w:val="en-GB"/>
        </w:rPr>
        <w:t xml:space="preserve"> equipment</w:t>
      </w:r>
      <w:r w:rsidRPr="00BE7E58">
        <w:rPr>
          <w:color w:val="auto"/>
          <w:lang w:val="en-GB"/>
        </w:rPr>
        <w:t xml:space="preserve"> – equipment installed in a vehicle performing the required EFC functions</w:t>
      </w:r>
    </w:p>
    <w:p w14:paraId="258BF1C7" w14:textId="77777777" w:rsidR="00AA6FA9" w:rsidRPr="00BE7E58" w:rsidRDefault="00AA6FA9" w:rsidP="00BE7E58">
      <w:pPr>
        <w:widowControl w:val="0"/>
        <w:spacing w:after="120" w:line="276" w:lineRule="auto"/>
        <w:jc w:val="both"/>
        <w:rPr>
          <w:color w:val="auto"/>
          <w:lang w:val="en-GB"/>
        </w:rPr>
      </w:pPr>
      <w:proofErr w:type="gramStart"/>
      <w:r w:rsidRPr="00BE7E58">
        <w:rPr>
          <w:b/>
          <w:color w:val="auto"/>
          <w:lang w:val="en-GB"/>
        </w:rPr>
        <w:t>roadside</w:t>
      </w:r>
      <w:proofErr w:type="gramEnd"/>
      <w:r w:rsidRPr="00BE7E58">
        <w:rPr>
          <w:b/>
          <w:color w:val="auto"/>
          <w:lang w:val="en-GB"/>
        </w:rPr>
        <w:t xml:space="preserve"> equipment</w:t>
      </w:r>
      <w:r w:rsidRPr="00BE7E58">
        <w:rPr>
          <w:color w:val="auto"/>
          <w:lang w:val="en-GB"/>
        </w:rPr>
        <w:t xml:space="preserve"> – equipment located along the infrastructure performing the required EFC functions</w:t>
      </w:r>
    </w:p>
    <w:p w14:paraId="04C72E0C" w14:textId="77777777" w:rsidR="00AA6FA9" w:rsidRPr="00BE7E58" w:rsidRDefault="00AA6FA9" w:rsidP="00BE7E58">
      <w:pPr>
        <w:widowControl w:val="0"/>
        <w:spacing w:after="120" w:line="276" w:lineRule="auto"/>
        <w:jc w:val="both"/>
        <w:rPr>
          <w:color w:val="auto"/>
          <w:lang w:val="en-GB"/>
        </w:rPr>
      </w:pPr>
      <w:proofErr w:type="gramStart"/>
      <w:r w:rsidRPr="00BE7E58">
        <w:rPr>
          <w:b/>
          <w:color w:val="auto"/>
          <w:lang w:val="en-GB"/>
        </w:rPr>
        <w:t>transaction</w:t>
      </w:r>
      <w:proofErr w:type="gramEnd"/>
      <w:r w:rsidRPr="00BE7E58">
        <w:rPr>
          <w:b/>
          <w:color w:val="auto"/>
          <w:lang w:val="en-GB"/>
        </w:rPr>
        <w:t xml:space="preserve"> </w:t>
      </w:r>
      <w:r w:rsidRPr="00BE7E58">
        <w:rPr>
          <w:color w:val="auto"/>
          <w:lang w:val="en-GB"/>
        </w:rPr>
        <w:t xml:space="preserve">– a complete exchange of information between roadside equipment (RSE) and on-board equipment (OBE) </w:t>
      </w:r>
    </w:p>
    <w:p w14:paraId="35174AC1" w14:textId="77777777" w:rsidR="00AA6FA9" w:rsidRPr="00E07021" w:rsidRDefault="00AA6FA9" w:rsidP="00AA6FA9">
      <w:pPr>
        <w:pStyle w:val="Nadpis1"/>
        <w:jc w:val="both"/>
        <w:rPr>
          <w:lang w:val="en-US"/>
        </w:rPr>
      </w:pPr>
      <w:r w:rsidRPr="00E07021">
        <w:rPr>
          <w:lang w:val="en-US"/>
        </w:rPr>
        <w:t>4</w:t>
      </w:r>
      <w:r w:rsidRPr="00E07021">
        <w:rPr>
          <w:color w:val="000000"/>
          <w:lang w:val="en-US"/>
        </w:rPr>
        <w:t> </w:t>
      </w:r>
      <w:r w:rsidRPr="00E07021">
        <w:rPr>
          <w:lang w:val="en-US"/>
        </w:rPr>
        <w:t>Abbreviations</w:t>
      </w:r>
    </w:p>
    <w:p w14:paraId="599B8B41" w14:textId="77777777" w:rsidR="00AA6FA9" w:rsidRPr="00BE7E58" w:rsidRDefault="00AA6FA9" w:rsidP="00BE7E58">
      <w:pPr>
        <w:widowControl w:val="0"/>
        <w:spacing w:after="120" w:line="276" w:lineRule="auto"/>
        <w:jc w:val="both"/>
        <w:rPr>
          <w:color w:val="auto"/>
          <w:lang w:val="en-GB"/>
        </w:rPr>
      </w:pPr>
      <w:r w:rsidRPr="00BE7E58">
        <w:rPr>
          <w:color w:val="auto"/>
          <w:lang w:val="en-GB"/>
        </w:rPr>
        <w:t>This clause contains 35 abbreviations related to the described document, the most important of which are the following:</w:t>
      </w:r>
    </w:p>
    <w:p w14:paraId="3F3A1ED8" w14:textId="77777777" w:rsidR="00AA6FA9" w:rsidRPr="00BE7E58" w:rsidRDefault="00AA6FA9" w:rsidP="00BE7E58">
      <w:pPr>
        <w:widowControl w:val="0"/>
        <w:spacing w:after="120" w:line="276" w:lineRule="auto"/>
        <w:jc w:val="both"/>
        <w:rPr>
          <w:b/>
          <w:color w:val="auto"/>
          <w:lang w:val="en-GB"/>
        </w:rPr>
      </w:pPr>
      <w:r w:rsidRPr="00BE7E58">
        <w:rPr>
          <w:b/>
          <w:color w:val="auto"/>
          <w:lang w:val="en-GB"/>
        </w:rPr>
        <w:t>DSRC</w:t>
      </w:r>
      <w:r w:rsidRPr="00BE7E58">
        <w:rPr>
          <w:b/>
          <w:color w:val="auto"/>
          <w:lang w:val="en-GB"/>
        </w:rPr>
        <w:tab/>
      </w:r>
      <w:r w:rsidRPr="00BE7E58">
        <w:rPr>
          <w:color w:val="auto"/>
          <w:lang w:val="en-GB"/>
        </w:rPr>
        <w:t>dedicated short-range communications</w:t>
      </w:r>
    </w:p>
    <w:p w14:paraId="33BE2354" w14:textId="77777777" w:rsidR="00AA6FA9" w:rsidRPr="00BE7E58" w:rsidRDefault="00AA6FA9" w:rsidP="00BE7E58">
      <w:pPr>
        <w:widowControl w:val="0"/>
        <w:spacing w:after="120" w:line="276" w:lineRule="auto"/>
        <w:jc w:val="both"/>
        <w:rPr>
          <w:b/>
          <w:color w:val="auto"/>
          <w:lang w:val="en-GB"/>
        </w:rPr>
      </w:pPr>
      <w:r w:rsidRPr="00BE7E58">
        <w:rPr>
          <w:b/>
          <w:color w:val="auto"/>
          <w:lang w:val="en-GB"/>
        </w:rPr>
        <w:t>EFC</w:t>
      </w:r>
      <w:r w:rsidRPr="00BE7E58">
        <w:rPr>
          <w:b/>
          <w:color w:val="auto"/>
          <w:lang w:val="en-GB"/>
        </w:rPr>
        <w:tab/>
      </w:r>
      <w:r w:rsidRPr="00BE7E58">
        <w:rPr>
          <w:color w:val="auto"/>
          <w:lang w:val="en-GB"/>
        </w:rPr>
        <w:t>electronic fee collection system; electronic fee collection</w:t>
      </w:r>
    </w:p>
    <w:p w14:paraId="205E25B5" w14:textId="77777777" w:rsidR="00AA6FA9" w:rsidRPr="00BE7E58" w:rsidRDefault="00AA6FA9" w:rsidP="00BE7E58">
      <w:pPr>
        <w:widowControl w:val="0"/>
        <w:spacing w:after="120" w:line="276" w:lineRule="auto"/>
        <w:jc w:val="both"/>
        <w:rPr>
          <w:color w:val="auto"/>
          <w:lang w:val="en-GB"/>
        </w:rPr>
      </w:pPr>
      <w:r w:rsidRPr="00BE7E58">
        <w:rPr>
          <w:b/>
          <w:color w:val="auto"/>
          <w:lang w:val="en-GB"/>
        </w:rPr>
        <w:t>OBE</w:t>
      </w:r>
      <w:r w:rsidRPr="00BE7E58">
        <w:rPr>
          <w:b/>
          <w:color w:val="auto"/>
          <w:lang w:val="en-GB"/>
        </w:rPr>
        <w:tab/>
      </w:r>
      <w:r w:rsidRPr="00BE7E58">
        <w:rPr>
          <w:color w:val="auto"/>
          <w:lang w:val="en-GB"/>
        </w:rPr>
        <w:t>on-board equipment</w:t>
      </w:r>
    </w:p>
    <w:p w14:paraId="56D96293" w14:textId="77777777" w:rsidR="00AA6FA9" w:rsidRPr="00BE7E58" w:rsidRDefault="00AA6FA9" w:rsidP="00BE7E58">
      <w:pPr>
        <w:widowControl w:val="0"/>
        <w:spacing w:after="120" w:line="276" w:lineRule="auto"/>
        <w:jc w:val="both"/>
        <w:rPr>
          <w:b/>
          <w:color w:val="auto"/>
          <w:lang w:val="en-GB"/>
        </w:rPr>
      </w:pPr>
      <w:r w:rsidRPr="00BE7E58">
        <w:rPr>
          <w:b/>
          <w:color w:val="auto"/>
          <w:lang w:val="en-GB"/>
        </w:rPr>
        <w:t>RSE</w:t>
      </w:r>
      <w:r w:rsidRPr="00BE7E58">
        <w:rPr>
          <w:b/>
          <w:color w:val="auto"/>
          <w:lang w:val="en-GB"/>
        </w:rPr>
        <w:tab/>
      </w:r>
      <w:r w:rsidRPr="00BE7E58">
        <w:rPr>
          <w:color w:val="auto"/>
          <w:lang w:val="en-GB"/>
        </w:rPr>
        <w:t>roadside equipment</w:t>
      </w:r>
    </w:p>
    <w:p w14:paraId="23C50233" w14:textId="77777777" w:rsidR="00BE7E58" w:rsidRPr="003117B7" w:rsidRDefault="00BE7E58" w:rsidP="00BE7E58">
      <w:pPr>
        <w:spacing w:before="114" w:after="234" w:line="276" w:lineRule="auto"/>
        <w:jc w:val="both"/>
        <w:rPr>
          <w:lang w:val="en-GB"/>
        </w:rPr>
      </w:pPr>
      <w:bookmarkStart w:id="6" w:name="_Toc479685648"/>
      <w:r w:rsidRPr="003117B7">
        <w:rPr>
          <w:iCs/>
          <w:color w:val="000000"/>
          <w:lang w:val="en-GB"/>
        </w:rPr>
        <w:t xml:space="preserve">Other terms and abbreviations from the ITS domain can be found in the </w:t>
      </w:r>
      <w:proofErr w:type="spellStart"/>
      <w:r w:rsidRPr="003117B7">
        <w:rPr>
          <w:iCs/>
          <w:color w:val="000000"/>
          <w:lang w:val="en-GB"/>
        </w:rPr>
        <w:t>ITSTerminology</w:t>
      </w:r>
      <w:proofErr w:type="spellEnd"/>
      <w:r w:rsidRPr="003117B7">
        <w:rPr>
          <w:iCs/>
          <w:color w:val="000000"/>
          <w:lang w:val="en-GB"/>
        </w:rPr>
        <w:t xml:space="preserve"> dictionary (</w:t>
      </w:r>
      <w:hyperlink r:id="rId9">
        <w:r w:rsidRPr="003117B7">
          <w:rPr>
            <w:rStyle w:val="Internetovodkaz"/>
            <w:iCs/>
            <w:lang w:val="en-GB"/>
          </w:rPr>
          <w:t>www.itsterminology.org</w:t>
        </w:r>
      </w:hyperlink>
      <w:r w:rsidRPr="003117B7">
        <w:rPr>
          <w:rStyle w:val="Internetovodkaz"/>
          <w:iCs/>
          <w:lang w:val="en-GB"/>
        </w:rPr>
        <w:t>)</w:t>
      </w:r>
      <w:r w:rsidRPr="003117B7">
        <w:rPr>
          <w:iCs/>
          <w:color w:val="000000"/>
          <w:lang w:val="en-GB"/>
        </w:rPr>
        <w:t xml:space="preserve">, the </w:t>
      </w:r>
      <w:proofErr w:type="spellStart"/>
      <w:r w:rsidRPr="003117B7">
        <w:rPr>
          <w:iCs/>
          <w:color w:val="000000"/>
          <w:lang w:val="en-GB"/>
        </w:rPr>
        <w:t>StandardLand</w:t>
      </w:r>
      <w:proofErr w:type="spellEnd"/>
      <w:r w:rsidRPr="003117B7">
        <w:rPr>
          <w:iCs/>
          <w:color w:val="000000"/>
          <w:lang w:val="en-GB"/>
        </w:rPr>
        <w:t xml:space="preserve"> website (</w:t>
      </w:r>
      <w:hyperlink r:id="rId10">
        <w:r w:rsidRPr="003117B7">
          <w:rPr>
            <w:rStyle w:val="Internetovodkaz"/>
            <w:iCs/>
            <w:lang w:val="en-GB"/>
          </w:rPr>
          <w:t>www.standardland.cz</w:t>
        </w:r>
      </w:hyperlink>
      <w:r w:rsidRPr="003117B7">
        <w:rPr>
          <w:iCs/>
          <w:color w:val="000000"/>
          <w:lang w:val="en-GB"/>
        </w:rPr>
        <w:t>) or the OBP platform (</w:t>
      </w:r>
      <w:hyperlink r:id="rId11">
        <w:r w:rsidRPr="003117B7">
          <w:rPr>
            <w:rStyle w:val="Internetovodkaz"/>
            <w:iCs/>
            <w:lang w:val="en-GB"/>
          </w:rPr>
          <w:t>www.iso.org/obp</w:t>
        </w:r>
      </w:hyperlink>
      <w:r w:rsidRPr="003117B7">
        <w:rPr>
          <w:rStyle w:val="Internetovodkaz"/>
          <w:iCs/>
          <w:color w:val="000000"/>
          <w:lang w:val="en-GB"/>
        </w:rPr>
        <w:t>).</w:t>
      </w:r>
    </w:p>
    <w:p w14:paraId="7E158B05" w14:textId="01FDA04A" w:rsidR="00AA6FA9" w:rsidRPr="00E07021" w:rsidRDefault="00AA6FA9" w:rsidP="00AA6FA9">
      <w:pPr>
        <w:pStyle w:val="Nadpis1"/>
        <w:jc w:val="both"/>
        <w:rPr>
          <w:lang w:val="en-US"/>
        </w:rPr>
      </w:pPr>
      <w:r w:rsidRPr="00E07021">
        <w:rPr>
          <w:lang w:val="en-US"/>
        </w:rPr>
        <w:t>5 </w:t>
      </w:r>
      <w:bookmarkEnd w:id="6"/>
      <w:r>
        <w:rPr>
          <w:lang w:val="en-US"/>
        </w:rPr>
        <w:t>EFC</w:t>
      </w:r>
      <w:r w:rsidRPr="00E07021">
        <w:rPr>
          <w:lang w:val="en-US"/>
        </w:rPr>
        <w:t xml:space="preserve"> </w:t>
      </w:r>
      <w:r w:rsidR="00FF629B">
        <w:rPr>
          <w:lang w:val="en-US"/>
        </w:rPr>
        <w:t>application interface a</w:t>
      </w:r>
      <w:r w:rsidRPr="00E07021">
        <w:rPr>
          <w:lang w:val="en-US"/>
        </w:rPr>
        <w:t>rchitecture</w:t>
      </w:r>
    </w:p>
    <w:p w14:paraId="1B833821" w14:textId="77777777" w:rsidR="00AA6FA9" w:rsidRPr="007C7806" w:rsidRDefault="00AA6FA9" w:rsidP="007C7806">
      <w:pPr>
        <w:pBdr>
          <w:top w:val="none" w:sz="4" w:space="0" w:color="000000"/>
          <w:left w:val="none" w:sz="4" w:space="0" w:color="000000"/>
          <w:bottom w:val="none" w:sz="4" w:space="0" w:color="000000"/>
          <w:right w:val="none" w:sz="4" w:space="0" w:color="000000"/>
        </w:pBdr>
        <w:spacing w:after="0" w:line="276" w:lineRule="auto"/>
        <w:jc w:val="both"/>
        <w:rPr>
          <w:rFonts w:eastAsia="Times New Roman" w:cs="Times New Roman"/>
          <w:lang w:val="en-GB" w:eastAsia="cs-CZ"/>
        </w:rPr>
      </w:pPr>
      <w:r w:rsidRPr="007C7806">
        <w:rPr>
          <w:rFonts w:eastAsia="Times New Roman" w:cs="Times New Roman"/>
          <w:lang w:val="en-GB" w:eastAsia="cs-CZ"/>
        </w:rPr>
        <w:t>This clause, spanning 5 pages, establishes which DSRC application interface services the electronic fee collection system recognizes, in what order they are invoked, and how they are used to retrieve or modify attributes stored in the on-board equipment. The basic services used include the functions GET, SET, ACTION, EVENT-REPORT, and INITIALISATION.</w:t>
      </w:r>
    </w:p>
    <w:p w14:paraId="140D0077" w14:textId="77777777" w:rsidR="00AA6FA9" w:rsidRPr="007C7806" w:rsidRDefault="00AA6FA9" w:rsidP="007C7806">
      <w:pPr>
        <w:pBdr>
          <w:top w:val="none" w:sz="4" w:space="0" w:color="000000"/>
          <w:left w:val="none" w:sz="4" w:space="0" w:color="000000"/>
          <w:bottom w:val="none" w:sz="4" w:space="0" w:color="000000"/>
          <w:right w:val="none" w:sz="4" w:space="0" w:color="000000"/>
        </w:pBdr>
        <w:spacing w:after="0" w:line="276" w:lineRule="auto"/>
        <w:jc w:val="both"/>
        <w:rPr>
          <w:rFonts w:eastAsia="Times New Roman" w:cs="Times New Roman"/>
          <w:lang w:val="en-GB" w:eastAsia="cs-CZ"/>
        </w:rPr>
      </w:pPr>
      <w:r w:rsidRPr="007C7806">
        <w:rPr>
          <w:rFonts w:eastAsia="Times New Roman" w:cs="Times New Roman"/>
          <w:lang w:val="en-GB" w:eastAsia="cs-CZ"/>
        </w:rPr>
        <w:t>Furthermore, this clause establishes the manner in which the roadside equipment (RSE) accesses data attributes stored in the on-board equipment (OBE). A concept of namespaces is introduced here so that multiple sets of attributes can be stored separately in one on-board equipment, each for use in a different toll domain. The identification of each namespace is carried out through the EFC-</w:t>
      </w:r>
      <w:proofErr w:type="spellStart"/>
      <w:r w:rsidRPr="007C7806">
        <w:rPr>
          <w:rFonts w:eastAsia="Times New Roman" w:cs="Times New Roman"/>
          <w:lang w:val="en-GB" w:eastAsia="cs-CZ"/>
        </w:rPr>
        <w:t>ContextMark</w:t>
      </w:r>
      <w:proofErr w:type="spellEnd"/>
      <w:r w:rsidRPr="007C7806">
        <w:rPr>
          <w:rFonts w:eastAsia="Times New Roman" w:cs="Times New Roman"/>
          <w:lang w:val="en-GB" w:eastAsia="cs-CZ"/>
        </w:rPr>
        <w:t xml:space="preserve"> attribute.</w:t>
      </w:r>
    </w:p>
    <w:p w14:paraId="54F1F5EF" w14:textId="3A33BEF3" w:rsidR="00AA6FA9" w:rsidRPr="00E07021" w:rsidRDefault="00AA6FA9" w:rsidP="00AA6FA9">
      <w:pPr>
        <w:pStyle w:val="Nadpis1"/>
        <w:jc w:val="both"/>
        <w:rPr>
          <w:lang w:val="en-US"/>
        </w:rPr>
      </w:pPr>
      <w:r w:rsidRPr="00E07021">
        <w:rPr>
          <w:lang w:val="en-US"/>
        </w:rPr>
        <w:t>6</w:t>
      </w:r>
      <w:r w:rsidRPr="00E07021">
        <w:rPr>
          <w:lang w:val="en-US"/>
        </w:rPr>
        <w:t> </w:t>
      </w:r>
      <w:r w:rsidR="00FF629B">
        <w:rPr>
          <w:lang w:val="en-US"/>
        </w:rPr>
        <w:t>EFC transaction m</w:t>
      </w:r>
      <w:r w:rsidRPr="00E07021">
        <w:rPr>
          <w:lang w:val="en-US"/>
        </w:rPr>
        <w:t>odel</w:t>
      </w:r>
    </w:p>
    <w:p w14:paraId="6174AF09" w14:textId="77777777" w:rsidR="00AA6FA9" w:rsidRPr="007C7806" w:rsidRDefault="00AA6FA9" w:rsidP="007C7806">
      <w:pPr>
        <w:pBdr>
          <w:top w:val="none" w:sz="4" w:space="0" w:color="000000"/>
          <w:left w:val="none" w:sz="4" w:space="0" w:color="000000"/>
          <w:bottom w:val="none" w:sz="4" w:space="0" w:color="000000"/>
          <w:right w:val="none" w:sz="4" w:space="0" w:color="000000"/>
        </w:pBdr>
        <w:spacing w:after="0" w:line="276" w:lineRule="auto"/>
        <w:jc w:val="both"/>
        <w:rPr>
          <w:rFonts w:eastAsia="Times New Roman" w:cs="Times New Roman"/>
          <w:lang w:val="en-GB" w:eastAsia="cs-CZ"/>
        </w:rPr>
      </w:pPr>
      <w:r w:rsidRPr="007C7806">
        <w:rPr>
          <w:rFonts w:eastAsia="Times New Roman" w:cs="Times New Roman"/>
          <w:lang w:val="en-GB" w:eastAsia="cs-CZ"/>
        </w:rPr>
        <w:t>This clause, spanning 5 pages, establishes the EFC transaction model consisting of two phases – initialization and transaction.</w:t>
      </w:r>
    </w:p>
    <w:p w14:paraId="546BC49C" w14:textId="77777777" w:rsidR="00AA6FA9" w:rsidRPr="007C7806" w:rsidRDefault="00AA6FA9" w:rsidP="007C7806">
      <w:pPr>
        <w:pBdr>
          <w:top w:val="none" w:sz="4" w:space="0" w:color="000000"/>
          <w:left w:val="none" w:sz="4" w:space="0" w:color="000000"/>
          <w:bottom w:val="none" w:sz="4" w:space="0" w:color="000000"/>
          <w:right w:val="none" w:sz="4" w:space="0" w:color="000000"/>
        </w:pBdr>
        <w:spacing w:after="0" w:line="276" w:lineRule="auto"/>
        <w:jc w:val="both"/>
        <w:rPr>
          <w:rFonts w:eastAsia="Times New Roman" w:cs="Times New Roman"/>
          <w:lang w:val="en-GB" w:eastAsia="cs-CZ"/>
        </w:rPr>
      </w:pPr>
      <w:r w:rsidRPr="007C7806">
        <w:rPr>
          <w:rFonts w:eastAsia="Times New Roman" w:cs="Times New Roman"/>
          <w:lang w:val="en-GB" w:eastAsia="cs-CZ"/>
        </w:rPr>
        <w:t xml:space="preserve">The initialization phase is based on the exchange of messages with transmitter and vehicle parameters (known as BST and VST), within which information is transmitted regarding the services, functions, and attributes </w:t>
      </w:r>
      <w:r w:rsidRPr="007C7806">
        <w:rPr>
          <w:rFonts w:eastAsia="Times New Roman" w:cs="Times New Roman"/>
          <w:lang w:val="en-GB" w:eastAsia="cs-CZ"/>
        </w:rPr>
        <w:lastRenderedPageBreak/>
        <w:t>supported by the on-board equipment (OBE) and roadside equipment (RSE). This clause establishes the specific content of these tables for the EFC application.</w:t>
      </w:r>
    </w:p>
    <w:p w14:paraId="4562746E" w14:textId="77777777" w:rsidR="00AA6FA9" w:rsidRPr="007C7806" w:rsidRDefault="00AA6FA9" w:rsidP="007C7806">
      <w:pPr>
        <w:pBdr>
          <w:top w:val="none" w:sz="4" w:space="0" w:color="000000"/>
          <w:left w:val="none" w:sz="4" w:space="0" w:color="000000"/>
          <w:bottom w:val="none" w:sz="4" w:space="0" w:color="000000"/>
          <w:right w:val="none" w:sz="4" w:space="0" w:color="000000"/>
        </w:pBdr>
        <w:spacing w:after="0" w:line="276" w:lineRule="auto"/>
        <w:jc w:val="both"/>
        <w:rPr>
          <w:rFonts w:eastAsia="Times New Roman" w:cs="Times New Roman"/>
          <w:lang w:val="en-GB" w:eastAsia="cs-CZ"/>
        </w:rPr>
      </w:pPr>
      <w:r w:rsidRPr="007C7806">
        <w:rPr>
          <w:rFonts w:eastAsia="Times New Roman" w:cs="Times New Roman"/>
          <w:lang w:val="en-GB" w:eastAsia="cs-CZ"/>
        </w:rPr>
        <w:t>During the transaction phase, the services identified within the initialization phase are utilized for the purpose of registering passage through a tolled section and exchanging information to determine the toll, as well as security elements to prevent subsequent manipulation of the record.</w:t>
      </w:r>
    </w:p>
    <w:p w14:paraId="062BB618" w14:textId="4E3DE469" w:rsidR="00AA6FA9" w:rsidRPr="00E07021" w:rsidRDefault="00AA6FA9" w:rsidP="00AA6FA9">
      <w:pPr>
        <w:pStyle w:val="Nadpis1"/>
        <w:jc w:val="both"/>
        <w:rPr>
          <w:lang w:val="en-US"/>
        </w:rPr>
      </w:pPr>
      <w:r w:rsidRPr="00E07021">
        <w:rPr>
          <w:lang w:val="en-US"/>
        </w:rPr>
        <w:t>7</w:t>
      </w:r>
      <w:r w:rsidRPr="00E07021">
        <w:rPr>
          <w:lang w:val="en-US"/>
        </w:rPr>
        <w:t> </w:t>
      </w:r>
      <w:r w:rsidR="00FF629B">
        <w:rPr>
          <w:lang w:val="en-US"/>
        </w:rPr>
        <w:t>EFC f</w:t>
      </w:r>
      <w:r w:rsidRPr="00E07021">
        <w:rPr>
          <w:lang w:val="en-US"/>
        </w:rPr>
        <w:t>unctions</w:t>
      </w:r>
    </w:p>
    <w:p w14:paraId="55F57C2D" w14:textId="77777777" w:rsidR="00AA6FA9" w:rsidRPr="007C7806" w:rsidRDefault="00AA6FA9" w:rsidP="007C7806">
      <w:pPr>
        <w:pBdr>
          <w:top w:val="none" w:sz="4" w:space="0" w:color="000000"/>
          <w:left w:val="none" w:sz="4" w:space="0" w:color="000000"/>
          <w:bottom w:val="none" w:sz="4" w:space="0" w:color="000000"/>
          <w:right w:val="none" w:sz="4" w:space="0" w:color="000000"/>
        </w:pBdr>
        <w:spacing w:after="0" w:line="276" w:lineRule="auto"/>
        <w:jc w:val="both"/>
        <w:rPr>
          <w:rFonts w:eastAsia="Times New Roman" w:cs="Times New Roman"/>
          <w:lang w:val="en-GB" w:eastAsia="cs-CZ"/>
        </w:rPr>
      </w:pPr>
      <w:bookmarkStart w:id="7" w:name="_Toc479685658"/>
      <w:r w:rsidRPr="007C7806">
        <w:rPr>
          <w:rFonts w:eastAsia="Times New Roman" w:cs="Times New Roman"/>
          <w:lang w:val="en-GB" w:eastAsia="cs-CZ"/>
        </w:rPr>
        <w:t>This clause, spanning 2 pages, describes the DSRC application interface functions defined for the EFC application. A total of 16 functions are described here, which are listed in the following table. Each function consists of a pair of service primitives, i.e., a request and a response, the parameters of which are described in detail in this clause.</w:t>
      </w:r>
    </w:p>
    <w:p w14:paraId="5817818E" w14:textId="77777777" w:rsidR="00886653" w:rsidRDefault="00886653" w:rsidP="007C7806">
      <w:pPr>
        <w:pStyle w:val="Titulek"/>
        <w:jc w:val="center"/>
        <w:rPr>
          <w:b/>
          <w:i w:val="0"/>
          <w:iCs w:val="0"/>
          <w:color w:val="auto"/>
          <w:sz w:val="20"/>
          <w:szCs w:val="20"/>
          <w:lang w:val="en-GB"/>
        </w:rPr>
      </w:pPr>
    </w:p>
    <w:p w14:paraId="4A025DFF" w14:textId="206AA375" w:rsidR="007C7806" w:rsidRPr="00DD7DE0" w:rsidRDefault="007C7806" w:rsidP="007C7806">
      <w:pPr>
        <w:pStyle w:val="Titulek"/>
        <w:jc w:val="center"/>
        <w:rPr>
          <w:b/>
          <w:i w:val="0"/>
          <w:iCs w:val="0"/>
          <w:color w:val="auto"/>
          <w:sz w:val="20"/>
          <w:szCs w:val="20"/>
          <w:lang w:val="en-GB"/>
        </w:rPr>
      </w:pPr>
      <w:r w:rsidRPr="00DD7DE0">
        <w:rPr>
          <w:b/>
          <w:i w:val="0"/>
          <w:iCs w:val="0"/>
          <w:color w:val="auto"/>
          <w:sz w:val="20"/>
          <w:szCs w:val="20"/>
          <w:lang w:val="en-GB"/>
        </w:rPr>
        <w:t xml:space="preserve">Table </w:t>
      </w:r>
      <w:r w:rsidRPr="00DD7DE0">
        <w:rPr>
          <w:b/>
          <w:i w:val="0"/>
          <w:iCs w:val="0"/>
          <w:color w:val="auto"/>
          <w:sz w:val="20"/>
          <w:szCs w:val="20"/>
          <w:lang w:val="en-GB"/>
        </w:rPr>
        <w:fldChar w:fldCharType="begin"/>
      </w:r>
      <w:r w:rsidRPr="00DD7DE0">
        <w:rPr>
          <w:b/>
          <w:i w:val="0"/>
          <w:iCs w:val="0"/>
          <w:color w:val="auto"/>
          <w:sz w:val="20"/>
          <w:szCs w:val="20"/>
          <w:lang w:val="en-GB"/>
        </w:rPr>
        <w:instrText xml:space="preserve"> SEQ Tabulka \* ARABIC </w:instrText>
      </w:r>
      <w:r w:rsidRPr="00DD7DE0">
        <w:rPr>
          <w:b/>
          <w:i w:val="0"/>
          <w:iCs w:val="0"/>
          <w:color w:val="auto"/>
          <w:sz w:val="20"/>
          <w:szCs w:val="20"/>
          <w:lang w:val="en-GB"/>
        </w:rPr>
        <w:fldChar w:fldCharType="separate"/>
      </w:r>
      <w:r w:rsidRPr="00DD7DE0">
        <w:rPr>
          <w:b/>
          <w:i w:val="0"/>
          <w:iCs w:val="0"/>
          <w:color w:val="auto"/>
          <w:sz w:val="20"/>
          <w:szCs w:val="20"/>
          <w:lang w:val="en-GB"/>
        </w:rPr>
        <w:t>1</w:t>
      </w:r>
      <w:r w:rsidRPr="00DD7DE0">
        <w:rPr>
          <w:b/>
          <w:i w:val="0"/>
          <w:iCs w:val="0"/>
          <w:color w:val="auto"/>
          <w:sz w:val="20"/>
          <w:szCs w:val="20"/>
          <w:lang w:val="en-GB"/>
        </w:rPr>
        <w:fldChar w:fldCharType="end"/>
      </w:r>
      <w:r w:rsidRPr="00DD7DE0">
        <w:rPr>
          <w:b/>
          <w:i w:val="0"/>
          <w:iCs w:val="0"/>
          <w:color w:val="auto"/>
          <w:sz w:val="20"/>
          <w:szCs w:val="20"/>
          <w:lang w:val="en-GB"/>
        </w:rPr>
        <w:t xml:space="preserve"> – Overview of DSRC application interface functions (Tab. 1 of the source </w:t>
      </w:r>
      <w:r w:rsidR="00FF629B">
        <w:rPr>
          <w:b/>
          <w:i w:val="0"/>
          <w:iCs w:val="0"/>
          <w:color w:val="auto"/>
          <w:sz w:val="20"/>
          <w:szCs w:val="20"/>
          <w:lang w:val="en-GB"/>
        </w:rPr>
        <w:t>standard</w:t>
      </w:r>
      <w:r w:rsidRPr="00DD7DE0">
        <w:rPr>
          <w:b/>
          <w:i w:val="0"/>
          <w:iCs w:val="0"/>
          <w:color w:val="auto"/>
          <w:sz w:val="20"/>
          <w:szCs w:val="20"/>
          <w:lang w:val="en-GB"/>
        </w:rPr>
        <w:t>)</w:t>
      </w:r>
    </w:p>
    <w:p w14:paraId="1A3D1DE5" w14:textId="77777777" w:rsidR="00AA6FA9" w:rsidRPr="00E07021" w:rsidRDefault="00AA6FA9" w:rsidP="00AA6FA9">
      <w:pPr>
        <w:keepNext/>
        <w:jc w:val="center"/>
        <w:rPr>
          <w:lang w:val="en-US"/>
        </w:rPr>
      </w:pPr>
      <w:r w:rsidRPr="00C5220D">
        <w:rPr>
          <w:noProof/>
        </w:rPr>
        <w:drawing>
          <wp:inline distT="0" distB="0" distL="0" distR="0" wp14:anchorId="363BE2B5" wp14:editId="343B7B00">
            <wp:extent cx="5364480" cy="4225750"/>
            <wp:effectExtent l="0" t="0" r="7620" b="3810"/>
            <wp:docPr id="826205698" name="Picture 1" descr="The diagram illustrates a table listing various function names and their corresponding parameters and types, such as GET_SECURE, SET_SECURE, GET_INSTANCE, SET_INSTANCE, GET_NONCE, SET_NONCE, TRANSFER_CHAN, COPY, SET_MMI, SUBTRACT, ADD, DEBIT, and ECHO, each with their respective parameter types and brief descrip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05698" name="Picture 1" descr="The diagram illustrates a table listing various function names and their corresponding parameters and types, such as GET_SECURE, SET_SECURE, GET_INSTANCE, SET_INSTANCE, GET_NONCE, SET_NONCE, TRANSFER_CHAN, COPY, SET_MMI, SUBTRACT, ADD, DEBIT, and ECHO, each with their respective parameter types and brief descriptions.&#10;&#10;AI-generated content may be incorrect."/>
                    <pic:cNvPicPr/>
                  </pic:nvPicPr>
                  <pic:blipFill>
                    <a:blip r:embed="rId12"/>
                    <a:stretch>
                      <a:fillRect/>
                    </a:stretch>
                  </pic:blipFill>
                  <pic:spPr>
                    <a:xfrm>
                      <a:off x="0" y="0"/>
                      <a:ext cx="5369613" cy="4229793"/>
                    </a:xfrm>
                    <a:prstGeom prst="rect">
                      <a:avLst/>
                    </a:prstGeom>
                  </pic:spPr>
                </pic:pic>
              </a:graphicData>
            </a:graphic>
          </wp:inline>
        </w:drawing>
      </w:r>
    </w:p>
    <w:p w14:paraId="6B66B6D6" w14:textId="43AF9A4E" w:rsidR="00AA6FA9" w:rsidRPr="00E07021" w:rsidRDefault="00AA6FA9" w:rsidP="00AA6FA9">
      <w:pPr>
        <w:pStyle w:val="Nadpis1"/>
        <w:jc w:val="both"/>
        <w:rPr>
          <w:lang w:val="en-US"/>
        </w:rPr>
      </w:pPr>
      <w:r w:rsidRPr="00E07021">
        <w:rPr>
          <w:lang w:val="en-US"/>
        </w:rPr>
        <w:t>8</w:t>
      </w:r>
      <w:r w:rsidRPr="00E07021">
        <w:rPr>
          <w:lang w:val="en-US"/>
        </w:rPr>
        <w:t> </w:t>
      </w:r>
      <w:r w:rsidR="00FF629B">
        <w:rPr>
          <w:lang w:val="en-US"/>
        </w:rPr>
        <w:t>EFC a</w:t>
      </w:r>
      <w:r w:rsidRPr="00E07021">
        <w:rPr>
          <w:lang w:val="en-US"/>
        </w:rPr>
        <w:t>ttributes</w:t>
      </w:r>
    </w:p>
    <w:p w14:paraId="5E812C32" w14:textId="77777777" w:rsidR="00AA6FA9" w:rsidRPr="007C7806" w:rsidRDefault="00AA6FA9" w:rsidP="007C7806">
      <w:pPr>
        <w:pBdr>
          <w:top w:val="none" w:sz="4" w:space="0" w:color="000000"/>
          <w:left w:val="none" w:sz="4" w:space="0" w:color="000000"/>
          <w:bottom w:val="none" w:sz="4" w:space="0" w:color="000000"/>
          <w:right w:val="none" w:sz="4" w:space="0" w:color="000000"/>
        </w:pBdr>
        <w:spacing w:after="0" w:line="276" w:lineRule="auto"/>
        <w:jc w:val="both"/>
        <w:rPr>
          <w:rFonts w:eastAsia="Times New Roman" w:cs="Times New Roman"/>
          <w:lang w:val="en-GB" w:eastAsia="cs-CZ"/>
        </w:rPr>
      </w:pPr>
      <w:r w:rsidRPr="007C7806">
        <w:rPr>
          <w:rFonts w:eastAsia="Times New Roman" w:cs="Times New Roman"/>
          <w:lang w:val="en-GB" w:eastAsia="cs-CZ"/>
        </w:rPr>
        <w:t>This clause, spanning 24 pages, describes all EFC data attributes, their name, purpose, and data content, i.e., a list of data elements forming the given attribute. For individual elements, their definition, data type according to ASN.1, permitted length in bytes, and permitted range of values are provided. A total of 47 attributes are specified in the described document, which are categorized into the following data groups – contract, receipt, vehicle, equipment, driver, and payment. This is a pivotal clause of the described document.</w:t>
      </w:r>
    </w:p>
    <w:p w14:paraId="5F790D38" w14:textId="19D8005D" w:rsidR="00AA6FA9" w:rsidRPr="00E07021" w:rsidRDefault="00AA6FA9" w:rsidP="00AA6FA9">
      <w:pPr>
        <w:pStyle w:val="Nadpis1"/>
        <w:jc w:val="both"/>
        <w:rPr>
          <w:lang w:val="en-US"/>
        </w:rPr>
      </w:pPr>
      <w:r w:rsidRPr="00E07021">
        <w:rPr>
          <w:lang w:val="en-US"/>
        </w:rPr>
        <w:t xml:space="preserve">Annex </w:t>
      </w:r>
      <w:proofErr w:type="gramStart"/>
      <w:r w:rsidRPr="00E07021">
        <w:rPr>
          <w:lang w:val="en-US"/>
        </w:rPr>
        <w:t>A</w:t>
      </w:r>
      <w:proofErr w:type="gramEnd"/>
      <w:r w:rsidRPr="00E07021">
        <w:rPr>
          <w:lang w:val="en-US"/>
        </w:rPr>
        <w:t xml:space="preserve"> (normative) –</w:t>
      </w:r>
      <w:r>
        <w:rPr>
          <w:lang w:val="en-US"/>
        </w:rPr>
        <w:t xml:space="preserve"> </w:t>
      </w:r>
      <w:r w:rsidR="00FF629B">
        <w:rPr>
          <w:lang w:val="en-US"/>
        </w:rPr>
        <w:t>EFC data t</w:t>
      </w:r>
      <w:r w:rsidRPr="00E07021">
        <w:rPr>
          <w:lang w:val="en-US"/>
        </w:rPr>
        <w:t>ypes</w:t>
      </w:r>
      <w:r w:rsidR="00FF629B">
        <w:rPr>
          <w:lang w:val="en-US"/>
        </w:rPr>
        <w:t xml:space="preserve"> s</w:t>
      </w:r>
      <w:r>
        <w:rPr>
          <w:lang w:val="en-US"/>
        </w:rPr>
        <w:t>pecifications</w:t>
      </w:r>
    </w:p>
    <w:p w14:paraId="41FCFB14" w14:textId="77777777" w:rsidR="00AA6FA9" w:rsidRPr="007C7806" w:rsidRDefault="00AA6FA9" w:rsidP="007C7806">
      <w:pPr>
        <w:pBdr>
          <w:top w:val="none" w:sz="4" w:space="0" w:color="000000"/>
          <w:left w:val="none" w:sz="4" w:space="0" w:color="000000"/>
          <w:bottom w:val="none" w:sz="4" w:space="0" w:color="000000"/>
          <w:right w:val="none" w:sz="4" w:space="0" w:color="000000"/>
        </w:pBdr>
        <w:spacing w:after="0" w:line="276" w:lineRule="auto"/>
        <w:jc w:val="both"/>
        <w:rPr>
          <w:rFonts w:eastAsia="Times New Roman" w:cs="Times New Roman"/>
          <w:lang w:val="en-GB" w:eastAsia="cs-CZ"/>
        </w:rPr>
      </w:pPr>
      <w:r w:rsidRPr="007C7806">
        <w:rPr>
          <w:rFonts w:eastAsia="Times New Roman" w:cs="Times New Roman"/>
          <w:lang w:val="en-GB" w:eastAsia="cs-CZ"/>
        </w:rPr>
        <w:t xml:space="preserve">Annex </w:t>
      </w:r>
      <w:proofErr w:type="gramStart"/>
      <w:r w:rsidRPr="007C7806">
        <w:rPr>
          <w:rFonts w:eastAsia="Times New Roman" w:cs="Times New Roman"/>
          <w:lang w:val="en-GB" w:eastAsia="cs-CZ"/>
        </w:rPr>
        <w:t>A</w:t>
      </w:r>
      <w:proofErr w:type="gramEnd"/>
      <w:r w:rsidRPr="007C7806">
        <w:rPr>
          <w:rFonts w:eastAsia="Times New Roman" w:cs="Times New Roman"/>
          <w:lang w:val="en-GB" w:eastAsia="cs-CZ"/>
        </w:rPr>
        <w:t>, spanning 1 page, provides the specification of the data types used according to ASN.1. A reference is provided here to the relevant ASN files, which can be imported into other application modules.</w:t>
      </w:r>
    </w:p>
    <w:p w14:paraId="254ED618" w14:textId="5D61EAEC" w:rsidR="00AA6FA9" w:rsidRPr="00E07021" w:rsidRDefault="00FF629B" w:rsidP="00AA6FA9">
      <w:pPr>
        <w:pStyle w:val="Nadpis1"/>
        <w:jc w:val="both"/>
        <w:rPr>
          <w:lang w:val="en-US"/>
        </w:rPr>
      </w:pPr>
      <w:r>
        <w:rPr>
          <w:lang w:val="en-US"/>
        </w:rPr>
        <w:lastRenderedPageBreak/>
        <w:t>Annex B (informative) – CARDME t</w:t>
      </w:r>
      <w:r w:rsidR="00AA6FA9" w:rsidRPr="00E07021">
        <w:rPr>
          <w:lang w:val="en-US"/>
        </w:rPr>
        <w:t>ransaction</w:t>
      </w:r>
    </w:p>
    <w:p w14:paraId="5C781210" w14:textId="77777777" w:rsidR="00AA6FA9" w:rsidRPr="001B5920" w:rsidRDefault="00AA6FA9" w:rsidP="001B5920">
      <w:pPr>
        <w:pBdr>
          <w:top w:val="none" w:sz="4" w:space="0" w:color="000000"/>
          <w:left w:val="none" w:sz="4" w:space="0" w:color="000000"/>
          <w:bottom w:val="none" w:sz="4" w:space="0" w:color="000000"/>
          <w:right w:val="none" w:sz="4" w:space="0" w:color="000000"/>
        </w:pBdr>
        <w:spacing w:after="0" w:line="276" w:lineRule="auto"/>
        <w:jc w:val="both"/>
        <w:rPr>
          <w:rFonts w:eastAsia="Times New Roman" w:cs="Times New Roman"/>
          <w:lang w:val="en-GB" w:eastAsia="cs-CZ"/>
        </w:rPr>
      </w:pPr>
      <w:r w:rsidRPr="001B5920">
        <w:rPr>
          <w:rFonts w:eastAsia="Times New Roman" w:cs="Times New Roman"/>
          <w:lang w:val="en-GB" w:eastAsia="cs-CZ"/>
        </w:rPr>
        <w:t>Annex B, spanning 34 pages, provides an informative example of a transaction through the specification of the CARDME transaction. The first part presents the course of the transaction divided into these phases:</w:t>
      </w:r>
    </w:p>
    <w:p w14:paraId="0559C443" w14:textId="77777777" w:rsidR="00AA6FA9" w:rsidRPr="001B5920" w:rsidRDefault="00AA6FA9" w:rsidP="001B5920">
      <w:pPr>
        <w:pStyle w:val="Odstavecseseznamem"/>
        <w:numPr>
          <w:ilvl w:val="0"/>
          <w:numId w:val="7"/>
        </w:numPr>
        <w:pBdr>
          <w:top w:val="none" w:sz="4" w:space="0" w:color="000000"/>
          <w:left w:val="none" w:sz="4" w:space="0" w:color="000000"/>
          <w:bottom w:val="none" w:sz="4" w:space="0" w:color="000000"/>
          <w:right w:val="none" w:sz="4" w:space="0" w:color="000000"/>
        </w:pBdr>
        <w:spacing w:line="276" w:lineRule="auto"/>
        <w:jc w:val="both"/>
        <w:rPr>
          <w:rFonts w:eastAsia="Times New Roman" w:cs="Times New Roman"/>
          <w:lang w:val="en-GB" w:eastAsia="cs-CZ"/>
        </w:rPr>
      </w:pPr>
      <w:r w:rsidRPr="001B5920">
        <w:rPr>
          <w:rFonts w:eastAsia="Times New Roman" w:cs="Times New Roman"/>
          <w:lang w:val="en-GB" w:eastAsia="cs-CZ"/>
        </w:rPr>
        <w:t>initialization, when the OBE provides contract information to the RSE;</w:t>
      </w:r>
    </w:p>
    <w:p w14:paraId="5FCAE6A6" w14:textId="77777777" w:rsidR="00AA6FA9" w:rsidRPr="001B5920" w:rsidRDefault="00AA6FA9" w:rsidP="001B5920">
      <w:pPr>
        <w:pStyle w:val="Odstavecseseznamem"/>
        <w:numPr>
          <w:ilvl w:val="0"/>
          <w:numId w:val="7"/>
        </w:numPr>
        <w:pBdr>
          <w:top w:val="none" w:sz="4" w:space="0" w:color="000000"/>
          <w:left w:val="none" w:sz="4" w:space="0" w:color="000000"/>
          <w:bottom w:val="none" w:sz="4" w:space="0" w:color="000000"/>
          <w:right w:val="none" w:sz="4" w:space="0" w:color="000000"/>
        </w:pBdr>
        <w:spacing w:line="276" w:lineRule="auto"/>
        <w:jc w:val="both"/>
        <w:rPr>
          <w:rFonts w:eastAsia="Times New Roman" w:cs="Times New Roman"/>
          <w:lang w:val="en-GB" w:eastAsia="cs-CZ"/>
        </w:rPr>
      </w:pPr>
      <w:proofErr w:type="gramStart"/>
      <w:r w:rsidRPr="001B5920">
        <w:rPr>
          <w:rFonts w:eastAsia="Times New Roman" w:cs="Times New Roman"/>
          <w:lang w:val="en-GB" w:eastAsia="cs-CZ"/>
        </w:rPr>
        <w:t>presentation</w:t>
      </w:r>
      <w:proofErr w:type="gramEnd"/>
      <w:r w:rsidRPr="001B5920">
        <w:rPr>
          <w:rFonts w:eastAsia="Times New Roman" w:cs="Times New Roman"/>
          <w:lang w:val="en-GB" w:eastAsia="cs-CZ"/>
        </w:rPr>
        <w:t>, when the RSE reads information about the OBE (details about the contract, account, vehicle classification, last transaction, etc.);</w:t>
      </w:r>
    </w:p>
    <w:p w14:paraId="05FF63DF" w14:textId="77777777" w:rsidR="00AA6FA9" w:rsidRPr="001B5920" w:rsidRDefault="00AA6FA9" w:rsidP="001B5920">
      <w:pPr>
        <w:pStyle w:val="Odstavecseseznamem"/>
        <w:numPr>
          <w:ilvl w:val="0"/>
          <w:numId w:val="7"/>
        </w:numPr>
        <w:pBdr>
          <w:top w:val="none" w:sz="4" w:space="0" w:color="000000"/>
          <w:left w:val="none" w:sz="4" w:space="0" w:color="000000"/>
          <w:bottom w:val="none" w:sz="4" w:space="0" w:color="000000"/>
          <w:right w:val="none" w:sz="4" w:space="0" w:color="000000"/>
        </w:pBdr>
        <w:spacing w:line="276" w:lineRule="auto"/>
        <w:jc w:val="both"/>
        <w:rPr>
          <w:rFonts w:eastAsia="Times New Roman" w:cs="Times New Roman"/>
          <w:lang w:val="en-GB" w:eastAsia="cs-CZ"/>
        </w:rPr>
      </w:pPr>
      <w:r w:rsidRPr="001B5920">
        <w:rPr>
          <w:rFonts w:eastAsia="Times New Roman" w:cs="Times New Roman"/>
          <w:lang w:val="en-GB" w:eastAsia="cs-CZ"/>
        </w:rPr>
        <w:t>receipt, when the RSE provides an electronic receipt to the OBE;</w:t>
      </w:r>
    </w:p>
    <w:p w14:paraId="31A71544" w14:textId="77777777" w:rsidR="00AA6FA9" w:rsidRPr="001B5920" w:rsidRDefault="00AA6FA9" w:rsidP="001B5920">
      <w:pPr>
        <w:pStyle w:val="Odstavecseseznamem"/>
        <w:numPr>
          <w:ilvl w:val="0"/>
          <w:numId w:val="7"/>
        </w:numPr>
        <w:pBdr>
          <w:top w:val="none" w:sz="4" w:space="0" w:color="000000"/>
          <w:left w:val="none" w:sz="4" w:space="0" w:color="000000"/>
          <w:bottom w:val="none" w:sz="4" w:space="0" w:color="000000"/>
          <w:right w:val="none" w:sz="4" w:space="0" w:color="000000"/>
        </w:pBdr>
        <w:spacing w:line="276" w:lineRule="auto"/>
        <w:jc w:val="both"/>
        <w:rPr>
          <w:rFonts w:eastAsia="Times New Roman" w:cs="Times New Roman"/>
          <w:lang w:val="en-GB" w:eastAsia="cs-CZ"/>
        </w:rPr>
      </w:pPr>
      <w:r w:rsidRPr="001B5920">
        <w:rPr>
          <w:rFonts w:eastAsia="Times New Roman" w:cs="Times New Roman"/>
          <w:lang w:val="en-GB" w:eastAsia="cs-CZ"/>
        </w:rPr>
        <w:t>tracking and closing, when the RSE tracks the vehicle in the communication zone and subsequently closes the transaction;</w:t>
      </w:r>
    </w:p>
    <w:p w14:paraId="71E78E78" w14:textId="77777777" w:rsidR="00AA6FA9" w:rsidRPr="001B5920" w:rsidRDefault="00AA6FA9" w:rsidP="001B5920">
      <w:pPr>
        <w:pBdr>
          <w:top w:val="none" w:sz="4" w:space="0" w:color="000000"/>
          <w:left w:val="none" w:sz="4" w:space="0" w:color="000000"/>
          <w:bottom w:val="none" w:sz="4" w:space="0" w:color="000000"/>
          <w:right w:val="none" w:sz="4" w:space="0" w:color="000000"/>
        </w:pBdr>
        <w:spacing w:after="0" w:line="276" w:lineRule="auto"/>
        <w:jc w:val="both"/>
        <w:rPr>
          <w:rFonts w:eastAsia="Times New Roman" w:cs="Times New Roman"/>
          <w:lang w:val="en-GB" w:eastAsia="cs-CZ"/>
        </w:rPr>
      </w:pPr>
      <w:r w:rsidRPr="001B5920">
        <w:rPr>
          <w:rFonts w:eastAsia="Times New Roman" w:cs="Times New Roman"/>
          <w:lang w:val="en-GB" w:eastAsia="cs-CZ"/>
        </w:rPr>
        <w:t>In the next part of this annex, the individual phases are described from the perspective of data exchange, and finally, the specification at the bit level is provided for the individual phases.</w:t>
      </w:r>
    </w:p>
    <w:p w14:paraId="5F5C5E95" w14:textId="79B6027C" w:rsidR="00AA6FA9" w:rsidRPr="00E07021" w:rsidRDefault="00AA6FA9" w:rsidP="00AA6FA9">
      <w:pPr>
        <w:pStyle w:val="Nadpis1"/>
        <w:jc w:val="both"/>
        <w:rPr>
          <w:lang w:val="en-US"/>
        </w:rPr>
      </w:pPr>
      <w:r w:rsidRPr="00E07021">
        <w:rPr>
          <w:lang w:val="en-US"/>
        </w:rPr>
        <w:t>Annex C (</w:t>
      </w:r>
      <w:r w:rsidR="00FF629B">
        <w:rPr>
          <w:lang w:val="en-US"/>
        </w:rPr>
        <w:t>informative) – Examples of EFC t</w:t>
      </w:r>
      <w:r w:rsidRPr="00E07021">
        <w:rPr>
          <w:lang w:val="en-US"/>
        </w:rPr>
        <w:t xml:space="preserve">ransaction </w:t>
      </w:r>
      <w:r w:rsidR="00FF629B">
        <w:rPr>
          <w:lang w:val="en-US"/>
        </w:rPr>
        <w:t>t</w:t>
      </w:r>
      <w:r w:rsidRPr="00E07021">
        <w:rPr>
          <w:lang w:val="en-US"/>
        </w:rPr>
        <w:t>ypes</w:t>
      </w:r>
      <w:r w:rsidRPr="00E07021">
        <w:rPr>
          <w:lang w:val="en-US"/>
        </w:rPr>
        <w:tab/>
      </w:r>
    </w:p>
    <w:p w14:paraId="75A55E61" w14:textId="77777777" w:rsidR="00AA6FA9" w:rsidRPr="001B5920" w:rsidRDefault="00AA6FA9" w:rsidP="001B5920">
      <w:pPr>
        <w:pBdr>
          <w:top w:val="none" w:sz="4" w:space="0" w:color="000000"/>
          <w:left w:val="none" w:sz="4" w:space="0" w:color="000000"/>
          <w:bottom w:val="none" w:sz="4" w:space="0" w:color="000000"/>
          <w:right w:val="none" w:sz="4" w:space="0" w:color="000000"/>
        </w:pBdr>
        <w:spacing w:after="0" w:line="276" w:lineRule="auto"/>
        <w:jc w:val="both"/>
        <w:rPr>
          <w:rFonts w:eastAsia="Times New Roman" w:cs="Times New Roman"/>
          <w:lang w:val="en-GB" w:eastAsia="cs-CZ"/>
        </w:rPr>
      </w:pPr>
      <w:r w:rsidRPr="001B5920">
        <w:rPr>
          <w:rFonts w:eastAsia="Times New Roman" w:cs="Times New Roman"/>
          <w:lang w:val="en-GB" w:eastAsia="cs-CZ"/>
        </w:rPr>
        <w:t>Annex C, spanning 12 pages, provides an informative example of various types of EFC transactions using specific EFC functions and attributes established in this described document. Examples are provided for the following transaction types:</w:t>
      </w:r>
    </w:p>
    <w:p w14:paraId="6422B0CA" w14:textId="77777777" w:rsidR="00AA6FA9" w:rsidRPr="001B5920" w:rsidRDefault="00AA6FA9" w:rsidP="001B5920">
      <w:pPr>
        <w:pStyle w:val="Odstavecseseznamem"/>
        <w:numPr>
          <w:ilvl w:val="0"/>
          <w:numId w:val="7"/>
        </w:numPr>
        <w:pBdr>
          <w:top w:val="none" w:sz="4" w:space="0" w:color="000000"/>
          <w:left w:val="none" w:sz="4" w:space="0" w:color="000000"/>
          <w:bottom w:val="none" w:sz="4" w:space="0" w:color="000000"/>
          <w:right w:val="none" w:sz="4" w:space="0" w:color="000000"/>
        </w:pBdr>
        <w:spacing w:line="276" w:lineRule="auto"/>
        <w:jc w:val="both"/>
        <w:rPr>
          <w:rFonts w:eastAsia="Times New Roman" w:cs="Times New Roman"/>
          <w:lang w:val="en-GB" w:eastAsia="cs-CZ"/>
        </w:rPr>
      </w:pPr>
      <w:r w:rsidRPr="001B5920">
        <w:rPr>
          <w:rFonts w:eastAsia="Times New Roman" w:cs="Times New Roman"/>
          <w:lang w:val="en-GB" w:eastAsia="cs-CZ"/>
        </w:rPr>
        <w:t>read-only EFC transaction;</w:t>
      </w:r>
    </w:p>
    <w:p w14:paraId="21E51179" w14:textId="77777777" w:rsidR="00AA6FA9" w:rsidRPr="001B5920" w:rsidRDefault="00AA6FA9" w:rsidP="001B5920">
      <w:pPr>
        <w:pStyle w:val="Odstavecseseznamem"/>
        <w:numPr>
          <w:ilvl w:val="0"/>
          <w:numId w:val="7"/>
        </w:numPr>
        <w:pBdr>
          <w:top w:val="none" w:sz="4" w:space="0" w:color="000000"/>
          <w:left w:val="none" w:sz="4" w:space="0" w:color="000000"/>
          <w:bottom w:val="none" w:sz="4" w:space="0" w:color="000000"/>
          <w:right w:val="none" w:sz="4" w:space="0" w:color="000000"/>
        </w:pBdr>
        <w:spacing w:line="276" w:lineRule="auto"/>
        <w:jc w:val="both"/>
        <w:rPr>
          <w:rFonts w:eastAsia="Times New Roman" w:cs="Times New Roman"/>
          <w:lang w:val="en-GB" w:eastAsia="cs-CZ"/>
        </w:rPr>
      </w:pPr>
      <w:r w:rsidRPr="001B5920">
        <w:rPr>
          <w:rFonts w:eastAsia="Times New Roman" w:cs="Times New Roman"/>
          <w:lang w:val="en-GB" w:eastAsia="cs-CZ"/>
        </w:rPr>
        <w:t>read and write EFC transaction;</w:t>
      </w:r>
    </w:p>
    <w:p w14:paraId="6BDC0B7F" w14:textId="77777777" w:rsidR="00AA6FA9" w:rsidRPr="001B5920" w:rsidRDefault="00AA6FA9" w:rsidP="001B5920">
      <w:pPr>
        <w:pStyle w:val="Odstavecseseznamem"/>
        <w:numPr>
          <w:ilvl w:val="0"/>
          <w:numId w:val="7"/>
        </w:numPr>
        <w:pBdr>
          <w:top w:val="none" w:sz="4" w:space="0" w:color="000000"/>
          <w:left w:val="none" w:sz="4" w:space="0" w:color="000000"/>
          <w:bottom w:val="none" w:sz="4" w:space="0" w:color="000000"/>
          <w:right w:val="none" w:sz="4" w:space="0" w:color="000000"/>
        </w:pBdr>
        <w:spacing w:line="276" w:lineRule="auto"/>
        <w:jc w:val="both"/>
        <w:rPr>
          <w:rFonts w:eastAsia="Times New Roman" w:cs="Times New Roman"/>
          <w:lang w:val="en-GB" w:eastAsia="cs-CZ"/>
        </w:rPr>
      </w:pPr>
      <w:r w:rsidRPr="001B5920">
        <w:rPr>
          <w:rFonts w:eastAsia="Times New Roman" w:cs="Times New Roman"/>
          <w:lang w:val="en-GB" w:eastAsia="cs-CZ"/>
        </w:rPr>
        <w:t>EFC electronic purse transaction using the DEBIT function;</w:t>
      </w:r>
    </w:p>
    <w:p w14:paraId="73B1FE58" w14:textId="77777777" w:rsidR="00AA6FA9" w:rsidRPr="001B5920" w:rsidRDefault="00AA6FA9" w:rsidP="001B5920">
      <w:pPr>
        <w:pStyle w:val="Odstavecseseznamem"/>
        <w:numPr>
          <w:ilvl w:val="0"/>
          <w:numId w:val="7"/>
        </w:numPr>
        <w:pBdr>
          <w:top w:val="none" w:sz="4" w:space="0" w:color="000000"/>
          <w:left w:val="none" w:sz="4" w:space="0" w:color="000000"/>
          <w:bottom w:val="none" w:sz="4" w:space="0" w:color="000000"/>
          <w:right w:val="none" w:sz="4" w:space="0" w:color="000000"/>
        </w:pBdr>
        <w:spacing w:line="276" w:lineRule="auto"/>
        <w:jc w:val="both"/>
        <w:rPr>
          <w:rFonts w:eastAsia="Times New Roman" w:cs="Times New Roman"/>
          <w:lang w:val="en-GB" w:eastAsia="cs-CZ"/>
        </w:rPr>
      </w:pPr>
      <w:r w:rsidRPr="001B5920">
        <w:rPr>
          <w:rFonts w:eastAsia="Times New Roman" w:cs="Times New Roman"/>
          <w:lang w:val="en-GB" w:eastAsia="cs-CZ"/>
        </w:rPr>
        <w:t>EFC electronic purse transaction using the TRANSFER_CHANNEL function;</w:t>
      </w:r>
    </w:p>
    <w:p w14:paraId="0E7775E0" w14:textId="77777777" w:rsidR="00AA6FA9" w:rsidRPr="001B5920" w:rsidRDefault="00AA6FA9" w:rsidP="001B5920">
      <w:pPr>
        <w:pStyle w:val="Odstavecseseznamem"/>
        <w:numPr>
          <w:ilvl w:val="0"/>
          <w:numId w:val="7"/>
        </w:numPr>
        <w:pBdr>
          <w:top w:val="none" w:sz="4" w:space="0" w:color="000000"/>
          <w:left w:val="none" w:sz="4" w:space="0" w:color="000000"/>
          <w:bottom w:val="none" w:sz="4" w:space="0" w:color="000000"/>
          <w:right w:val="none" w:sz="4" w:space="0" w:color="000000"/>
        </w:pBdr>
        <w:spacing w:line="276" w:lineRule="auto"/>
        <w:jc w:val="both"/>
        <w:rPr>
          <w:rFonts w:eastAsia="Times New Roman" w:cs="Times New Roman"/>
          <w:lang w:val="en-GB" w:eastAsia="cs-CZ"/>
        </w:rPr>
      </w:pPr>
      <w:r w:rsidRPr="001B5920">
        <w:rPr>
          <w:rFonts w:eastAsia="Times New Roman" w:cs="Times New Roman"/>
          <w:lang w:val="en-GB" w:eastAsia="cs-CZ"/>
        </w:rPr>
        <w:t>EFC transaction using multiple contracts;</w:t>
      </w:r>
    </w:p>
    <w:p w14:paraId="17F1C840" w14:textId="77777777" w:rsidR="00AA6FA9" w:rsidRPr="001B5920" w:rsidRDefault="00AA6FA9" w:rsidP="001B5920">
      <w:pPr>
        <w:pBdr>
          <w:top w:val="none" w:sz="4" w:space="0" w:color="000000"/>
          <w:left w:val="none" w:sz="4" w:space="0" w:color="000000"/>
          <w:bottom w:val="none" w:sz="4" w:space="0" w:color="000000"/>
          <w:right w:val="none" w:sz="4" w:space="0" w:color="000000"/>
        </w:pBdr>
        <w:spacing w:after="0" w:line="276" w:lineRule="auto"/>
        <w:jc w:val="both"/>
        <w:rPr>
          <w:rFonts w:eastAsia="Times New Roman" w:cs="Times New Roman"/>
          <w:lang w:val="en-GB" w:eastAsia="cs-CZ"/>
        </w:rPr>
      </w:pPr>
      <w:r w:rsidRPr="001B5920">
        <w:rPr>
          <w:rFonts w:eastAsia="Times New Roman" w:cs="Times New Roman"/>
          <w:lang w:val="en-GB" w:eastAsia="cs-CZ"/>
        </w:rPr>
        <w:t>This annex aims to demonstrate the concept of various transactions and show how they are introduced in the described document. For illustration, an example of a read-only EFC transaction is provided below.</w:t>
      </w:r>
    </w:p>
    <w:p w14:paraId="21B83647" w14:textId="77777777" w:rsidR="00DD7DE0" w:rsidRDefault="00DD7DE0" w:rsidP="00886653">
      <w:pPr>
        <w:pStyle w:val="Titulek"/>
        <w:jc w:val="center"/>
        <w:rPr>
          <w:b/>
          <w:i w:val="0"/>
          <w:iCs w:val="0"/>
          <w:color w:val="auto"/>
          <w:sz w:val="20"/>
          <w:szCs w:val="20"/>
          <w:lang w:val="en-GB"/>
        </w:rPr>
      </w:pPr>
    </w:p>
    <w:p w14:paraId="319C09BB" w14:textId="7EE3689D" w:rsidR="00AA6FA9" w:rsidRPr="00E07021" w:rsidRDefault="00734084" w:rsidP="00734084">
      <w:pPr>
        <w:jc w:val="center"/>
        <w:rPr>
          <w:lang w:val="en-US"/>
        </w:rPr>
      </w:pPr>
      <w:r>
        <w:rPr>
          <w:noProof/>
          <w:lang w:val="cs-CZ" w:eastAsia="cs-CZ"/>
        </w:rPr>
        <w:drawing>
          <wp:inline distT="0" distB="0" distL="0" distR="0" wp14:anchorId="296F5FCE" wp14:editId="6653F8E1">
            <wp:extent cx="6197668" cy="1960880"/>
            <wp:effectExtent l="0" t="0" r="0" b="1270"/>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213584" cy="1965916"/>
                    </a:xfrm>
                    <a:prstGeom prst="rect">
                      <a:avLst/>
                    </a:prstGeom>
                  </pic:spPr>
                </pic:pic>
              </a:graphicData>
            </a:graphic>
          </wp:inline>
        </w:drawing>
      </w:r>
    </w:p>
    <w:p w14:paraId="423CCF77" w14:textId="77777777" w:rsidR="00886653" w:rsidRDefault="00886653" w:rsidP="00886653">
      <w:pPr>
        <w:pStyle w:val="Titulek"/>
        <w:jc w:val="center"/>
        <w:rPr>
          <w:b/>
          <w:i w:val="0"/>
          <w:iCs w:val="0"/>
          <w:color w:val="auto"/>
          <w:sz w:val="20"/>
          <w:szCs w:val="20"/>
          <w:lang w:val="en-GB"/>
        </w:rPr>
      </w:pPr>
    </w:p>
    <w:p w14:paraId="08269422" w14:textId="40B4C9D3" w:rsidR="00886653" w:rsidRPr="00DD7DE0" w:rsidRDefault="00886653" w:rsidP="00886653">
      <w:pPr>
        <w:pStyle w:val="Titulek"/>
        <w:jc w:val="center"/>
        <w:rPr>
          <w:b/>
          <w:i w:val="0"/>
          <w:iCs w:val="0"/>
          <w:color w:val="auto"/>
          <w:sz w:val="20"/>
          <w:szCs w:val="20"/>
          <w:lang w:val="en-GB"/>
        </w:rPr>
      </w:pPr>
      <w:r w:rsidRPr="00DD7DE0">
        <w:rPr>
          <w:b/>
          <w:i w:val="0"/>
          <w:iCs w:val="0"/>
          <w:color w:val="auto"/>
          <w:sz w:val="20"/>
          <w:szCs w:val="20"/>
          <w:lang w:val="en-GB"/>
        </w:rPr>
        <w:t xml:space="preserve">Figure </w:t>
      </w:r>
      <w:proofErr w:type="gramStart"/>
      <w:r>
        <w:rPr>
          <w:b/>
          <w:i w:val="0"/>
          <w:iCs w:val="0"/>
          <w:color w:val="auto"/>
          <w:sz w:val="20"/>
          <w:szCs w:val="20"/>
          <w:lang w:val="en-GB"/>
        </w:rPr>
        <w:t>2</w:t>
      </w:r>
      <w:proofErr w:type="gramEnd"/>
      <w:r w:rsidRPr="00DD7DE0">
        <w:rPr>
          <w:b/>
          <w:i w:val="0"/>
          <w:iCs w:val="0"/>
          <w:color w:val="auto"/>
          <w:sz w:val="20"/>
          <w:szCs w:val="20"/>
          <w:lang w:val="en-GB"/>
        </w:rPr>
        <w:t xml:space="preserve"> – EFC read-only transaction (Fig. C.1 of the source </w:t>
      </w:r>
      <w:r w:rsidR="004F3B48">
        <w:rPr>
          <w:b/>
          <w:i w:val="0"/>
          <w:iCs w:val="0"/>
          <w:color w:val="auto"/>
          <w:sz w:val="20"/>
          <w:szCs w:val="20"/>
          <w:lang w:val="en-GB"/>
        </w:rPr>
        <w:t>standard</w:t>
      </w:r>
      <w:r w:rsidRPr="00DD7DE0">
        <w:rPr>
          <w:b/>
          <w:i w:val="0"/>
          <w:iCs w:val="0"/>
          <w:color w:val="auto"/>
          <w:sz w:val="20"/>
          <w:szCs w:val="20"/>
          <w:lang w:val="en-GB"/>
        </w:rPr>
        <w:t>)</w:t>
      </w:r>
    </w:p>
    <w:p w14:paraId="767094D4" w14:textId="605CCB85" w:rsidR="00AA6FA9" w:rsidRPr="00E07021" w:rsidRDefault="00AA6FA9" w:rsidP="00AA6FA9">
      <w:pPr>
        <w:pStyle w:val="Nadpis1"/>
        <w:jc w:val="both"/>
        <w:rPr>
          <w:lang w:val="en-US"/>
        </w:rPr>
      </w:pPr>
      <w:r w:rsidRPr="00E07021">
        <w:rPr>
          <w:lang w:val="en-US"/>
        </w:rPr>
        <w:t xml:space="preserve">Annex D (normative) – Mapping </w:t>
      </w:r>
      <w:r w:rsidR="004F3B48">
        <w:rPr>
          <w:lang w:val="en-US"/>
        </w:rPr>
        <w:t>table b</w:t>
      </w:r>
      <w:r w:rsidRPr="00E07021">
        <w:rPr>
          <w:lang w:val="en-US"/>
        </w:rPr>
        <w:t xml:space="preserve">etween </w:t>
      </w:r>
      <w:r w:rsidR="004F3B48">
        <w:rPr>
          <w:lang w:val="en-US"/>
        </w:rPr>
        <w:t>c</w:t>
      </w:r>
      <w:r w:rsidRPr="00E07021">
        <w:rPr>
          <w:lang w:val="en-US"/>
        </w:rPr>
        <w:t xml:space="preserve">haracter </w:t>
      </w:r>
      <w:r w:rsidR="004F3B48">
        <w:rPr>
          <w:lang w:val="en-US"/>
        </w:rPr>
        <w:t>s</w:t>
      </w:r>
      <w:r w:rsidRPr="00E07021">
        <w:rPr>
          <w:lang w:val="en-US"/>
        </w:rPr>
        <w:t>ets</w:t>
      </w:r>
    </w:p>
    <w:p w14:paraId="580A7F7A" w14:textId="77777777" w:rsidR="00AA6FA9" w:rsidRPr="001B5920" w:rsidRDefault="00AA6FA9" w:rsidP="001B5920">
      <w:pPr>
        <w:pBdr>
          <w:top w:val="none" w:sz="4" w:space="0" w:color="000000"/>
          <w:left w:val="none" w:sz="4" w:space="0" w:color="000000"/>
          <w:bottom w:val="none" w:sz="4" w:space="0" w:color="000000"/>
          <w:right w:val="none" w:sz="4" w:space="0" w:color="000000"/>
        </w:pBdr>
        <w:spacing w:after="0" w:line="276" w:lineRule="auto"/>
        <w:jc w:val="both"/>
        <w:rPr>
          <w:rFonts w:eastAsia="Times New Roman" w:cs="Times New Roman"/>
          <w:lang w:val="en-GB" w:eastAsia="cs-CZ"/>
        </w:rPr>
      </w:pPr>
      <w:r w:rsidRPr="001B5920">
        <w:rPr>
          <w:rFonts w:eastAsia="Times New Roman" w:cs="Times New Roman"/>
          <w:lang w:val="en-GB" w:eastAsia="cs-CZ"/>
        </w:rPr>
        <w:t>Annex D, spanning 1 page, establishes mapping rules for converting characters of the ISO 8859-2 (Latin2, Eastern European) character set and the ISO 8859-5 (Cyrillic) character set into the ISO 8859-1 (Latin1, Western European) character set.</w:t>
      </w:r>
    </w:p>
    <w:p w14:paraId="3671BBEE" w14:textId="4311C9F0" w:rsidR="00AA6FA9" w:rsidRPr="00E07021" w:rsidRDefault="00AA6FA9" w:rsidP="00AA6FA9">
      <w:pPr>
        <w:pStyle w:val="Nadpis1"/>
        <w:jc w:val="both"/>
        <w:rPr>
          <w:lang w:val="en-US"/>
        </w:rPr>
      </w:pPr>
      <w:r w:rsidRPr="00E07021">
        <w:rPr>
          <w:lang w:val="en-US"/>
        </w:rPr>
        <w:t>A</w:t>
      </w:r>
      <w:r w:rsidR="004F3B48">
        <w:rPr>
          <w:lang w:val="en-US"/>
        </w:rPr>
        <w:t>nnex E (informative) – Mapping t</w:t>
      </w:r>
      <w:r w:rsidRPr="00E07021">
        <w:rPr>
          <w:lang w:val="en-US"/>
        </w:rPr>
        <w:t xml:space="preserve">able for </w:t>
      </w:r>
      <w:r w:rsidR="004F3B48">
        <w:rPr>
          <w:lang w:val="en-US"/>
        </w:rPr>
        <w:t>vehicle a</w:t>
      </w:r>
      <w:r w:rsidRPr="00E07021">
        <w:rPr>
          <w:lang w:val="en-US"/>
        </w:rPr>
        <w:t>ttributes</w:t>
      </w:r>
    </w:p>
    <w:p w14:paraId="4443593A" w14:textId="47FE00AD" w:rsidR="00AA6FA9" w:rsidRDefault="00AA6FA9" w:rsidP="001B5920">
      <w:pPr>
        <w:pBdr>
          <w:top w:val="none" w:sz="4" w:space="0" w:color="000000"/>
          <w:left w:val="none" w:sz="4" w:space="0" w:color="000000"/>
          <w:bottom w:val="none" w:sz="4" w:space="0" w:color="000000"/>
          <w:right w:val="none" w:sz="4" w:space="0" w:color="000000"/>
        </w:pBdr>
        <w:spacing w:after="0" w:line="276" w:lineRule="auto"/>
        <w:jc w:val="both"/>
        <w:rPr>
          <w:rFonts w:eastAsia="Times New Roman" w:cs="Times New Roman"/>
          <w:lang w:val="en-GB" w:eastAsia="cs-CZ"/>
        </w:rPr>
      </w:pPr>
      <w:r w:rsidRPr="001B5920">
        <w:rPr>
          <w:rFonts w:eastAsia="Times New Roman" w:cs="Times New Roman"/>
          <w:lang w:val="en-GB" w:eastAsia="cs-CZ"/>
        </w:rPr>
        <w:t>Annex E, spanning 3 pages, establishes mapping rules between attributes recorded in the vehicle registration certificate and the EFC attributes defined by this described document. The aim of this annex is to facilitate the personalization of the OBE with vehicle data. For illustration, the mapping for several of these attributes is provided below.</w:t>
      </w:r>
    </w:p>
    <w:p w14:paraId="766CB573" w14:textId="1AF990A4" w:rsidR="00BE7E58" w:rsidRPr="001B5920" w:rsidRDefault="00BE7E58" w:rsidP="001B5920">
      <w:pPr>
        <w:pBdr>
          <w:top w:val="none" w:sz="4" w:space="0" w:color="000000"/>
          <w:left w:val="none" w:sz="4" w:space="0" w:color="000000"/>
          <w:bottom w:val="none" w:sz="4" w:space="0" w:color="000000"/>
          <w:right w:val="none" w:sz="4" w:space="0" w:color="000000"/>
        </w:pBdr>
        <w:spacing w:after="0" w:line="276" w:lineRule="auto"/>
        <w:jc w:val="both"/>
        <w:rPr>
          <w:rFonts w:eastAsia="Times New Roman" w:cs="Times New Roman"/>
          <w:lang w:val="en-GB" w:eastAsia="cs-CZ"/>
        </w:rPr>
      </w:pPr>
    </w:p>
    <w:p w14:paraId="4A256E26" w14:textId="73B67B63" w:rsidR="00BE7E58" w:rsidRPr="00886653" w:rsidRDefault="00AA6FA9" w:rsidP="00886653">
      <w:pPr>
        <w:pStyle w:val="Titulek"/>
        <w:jc w:val="center"/>
        <w:rPr>
          <w:b/>
          <w:i w:val="0"/>
          <w:iCs w:val="0"/>
          <w:color w:val="auto"/>
          <w:sz w:val="20"/>
          <w:szCs w:val="20"/>
          <w:lang w:val="en-GB"/>
        </w:rPr>
      </w:pPr>
      <w:r w:rsidRPr="00734084">
        <w:rPr>
          <w:b/>
          <w:i w:val="0"/>
          <w:iCs w:val="0"/>
          <w:color w:val="auto"/>
          <w:sz w:val="20"/>
          <w:szCs w:val="20"/>
          <w:lang w:val="en-GB"/>
        </w:rPr>
        <w:lastRenderedPageBreak/>
        <w:t xml:space="preserve">Table </w:t>
      </w:r>
      <w:proofErr w:type="gramStart"/>
      <w:r w:rsidR="00734084">
        <w:rPr>
          <w:b/>
          <w:i w:val="0"/>
          <w:iCs w:val="0"/>
          <w:color w:val="auto"/>
          <w:sz w:val="20"/>
          <w:szCs w:val="20"/>
          <w:lang w:val="en-GB"/>
        </w:rPr>
        <w:t>2</w:t>
      </w:r>
      <w:proofErr w:type="gramEnd"/>
      <w:r w:rsidRPr="00734084">
        <w:rPr>
          <w:b/>
          <w:i w:val="0"/>
          <w:iCs w:val="0"/>
          <w:color w:val="auto"/>
          <w:sz w:val="20"/>
          <w:szCs w:val="20"/>
          <w:lang w:val="en-GB"/>
        </w:rPr>
        <w:t xml:space="preserve"> – Mapping table for vehicle attributes (</w:t>
      </w:r>
      <w:r w:rsidR="00886653">
        <w:rPr>
          <w:b/>
          <w:i w:val="0"/>
          <w:iCs w:val="0"/>
          <w:color w:val="auto"/>
          <w:sz w:val="20"/>
          <w:szCs w:val="20"/>
          <w:lang w:val="en-GB"/>
        </w:rPr>
        <w:t>excerpt of the tab.</w:t>
      </w:r>
      <w:r w:rsidRPr="00734084">
        <w:rPr>
          <w:b/>
          <w:i w:val="0"/>
          <w:iCs w:val="0"/>
          <w:color w:val="auto"/>
          <w:sz w:val="20"/>
          <w:szCs w:val="20"/>
          <w:lang w:val="en-GB"/>
        </w:rPr>
        <w:t xml:space="preserve"> E.1 of the </w:t>
      </w:r>
      <w:r w:rsidR="00886653">
        <w:rPr>
          <w:b/>
          <w:i w:val="0"/>
          <w:iCs w:val="0"/>
          <w:color w:val="auto"/>
          <w:sz w:val="20"/>
          <w:szCs w:val="20"/>
          <w:lang w:val="en-GB"/>
        </w:rPr>
        <w:t>source</w:t>
      </w:r>
      <w:r w:rsidRPr="00734084">
        <w:rPr>
          <w:b/>
          <w:i w:val="0"/>
          <w:iCs w:val="0"/>
          <w:color w:val="auto"/>
          <w:sz w:val="20"/>
          <w:szCs w:val="20"/>
          <w:lang w:val="en-GB"/>
        </w:rPr>
        <w:t xml:space="preserve"> document)</w:t>
      </w:r>
    </w:p>
    <w:p w14:paraId="0997311F" w14:textId="77777777" w:rsidR="00886653" w:rsidRDefault="00886653" w:rsidP="00AA6FA9">
      <w:pPr>
        <w:pStyle w:val="Nadpis1"/>
        <w:jc w:val="both"/>
        <w:rPr>
          <w:lang w:val="en-US"/>
        </w:rPr>
      </w:pPr>
      <w:r>
        <w:rPr>
          <w:noProof/>
          <w:lang w:val="cs-CZ"/>
        </w:rPr>
        <w:drawing>
          <wp:inline distT="0" distB="0" distL="0" distR="0" wp14:anchorId="7CD150DC" wp14:editId="5C28375F">
            <wp:extent cx="6300470" cy="1656080"/>
            <wp:effectExtent l="0" t="0" r="5080" b="127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300470" cy="1656080"/>
                    </a:xfrm>
                    <a:prstGeom prst="rect">
                      <a:avLst/>
                    </a:prstGeom>
                  </pic:spPr>
                </pic:pic>
              </a:graphicData>
            </a:graphic>
          </wp:inline>
        </w:drawing>
      </w:r>
    </w:p>
    <w:p w14:paraId="4DC5146C" w14:textId="77777777" w:rsidR="00886653" w:rsidRDefault="00886653" w:rsidP="00AA6FA9">
      <w:pPr>
        <w:pStyle w:val="Nadpis1"/>
        <w:jc w:val="both"/>
        <w:rPr>
          <w:lang w:val="en-US"/>
        </w:rPr>
      </w:pPr>
    </w:p>
    <w:p w14:paraId="18CD4BDA" w14:textId="34B7FE93" w:rsidR="00AA6FA9" w:rsidRPr="00E07021" w:rsidRDefault="00AA6FA9" w:rsidP="00AA6FA9">
      <w:pPr>
        <w:pStyle w:val="Nadpis1"/>
        <w:jc w:val="both"/>
        <w:rPr>
          <w:lang w:val="en-US"/>
        </w:rPr>
      </w:pPr>
      <w:r w:rsidRPr="00E07021">
        <w:rPr>
          <w:lang w:val="en-US"/>
        </w:rPr>
        <w:t xml:space="preserve">Annex F (normative) – Security </w:t>
      </w:r>
      <w:r w:rsidR="000A6B34">
        <w:rPr>
          <w:lang w:val="en-US"/>
        </w:rPr>
        <w:t>c</w:t>
      </w:r>
      <w:r w:rsidRPr="00E07021">
        <w:rPr>
          <w:lang w:val="en-US"/>
        </w:rPr>
        <w:t xml:space="preserve">alculations </w:t>
      </w:r>
      <w:r>
        <w:rPr>
          <w:lang w:val="en-US"/>
        </w:rPr>
        <w:t>for</w:t>
      </w:r>
      <w:r w:rsidRPr="00E07021">
        <w:rPr>
          <w:lang w:val="en-US"/>
        </w:rPr>
        <w:t xml:space="preserve"> DES</w:t>
      </w:r>
    </w:p>
    <w:p w14:paraId="16E3A504" w14:textId="09C0CC9E" w:rsidR="00AA6FA9" w:rsidRPr="001B5920" w:rsidRDefault="00AA6FA9" w:rsidP="001B5920">
      <w:pPr>
        <w:pBdr>
          <w:top w:val="none" w:sz="4" w:space="0" w:color="000000"/>
          <w:left w:val="none" w:sz="4" w:space="0" w:color="000000"/>
          <w:bottom w:val="none" w:sz="4" w:space="0" w:color="000000"/>
          <w:right w:val="none" w:sz="4" w:space="0" w:color="000000"/>
        </w:pBdr>
        <w:spacing w:after="0" w:line="276" w:lineRule="auto"/>
        <w:jc w:val="both"/>
        <w:rPr>
          <w:rFonts w:eastAsia="Times New Roman" w:cs="Times New Roman"/>
          <w:lang w:val="en-GB" w:eastAsia="cs-CZ"/>
        </w:rPr>
      </w:pPr>
      <w:r w:rsidRPr="001B5920">
        <w:rPr>
          <w:rFonts w:eastAsia="Times New Roman" w:cs="Times New Roman"/>
          <w:lang w:val="en-GB" w:eastAsia="cs-CZ"/>
        </w:rPr>
        <w:t xml:space="preserve">Annex F, spanning </w:t>
      </w:r>
      <w:proofErr w:type="gramStart"/>
      <w:r w:rsidRPr="001B5920">
        <w:rPr>
          <w:rFonts w:eastAsia="Times New Roman" w:cs="Times New Roman"/>
          <w:lang w:val="en-GB" w:eastAsia="cs-CZ"/>
        </w:rPr>
        <w:t>5</w:t>
      </w:r>
      <w:proofErr w:type="gramEnd"/>
      <w:r w:rsidRPr="001B5920">
        <w:rPr>
          <w:rFonts w:eastAsia="Times New Roman" w:cs="Times New Roman"/>
          <w:lang w:val="en-GB" w:eastAsia="cs-CZ"/>
        </w:rPr>
        <w:t xml:space="preserve"> pages, contains a detailed definition of security calculations according to the Data Encryption Standard (DES).</w:t>
      </w:r>
    </w:p>
    <w:p w14:paraId="103BDE35" w14:textId="6555F076" w:rsidR="00AA6FA9" w:rsidRPr="00E07021" w:rsidRDefault="00AA6FA9" w:rsidP="00AA6FA9">
      <w:pPr>
        <w:pStyle w:val="Nadpis1"/>
        <w:jc w:val="both"/>
        <w:rPr>
          <w:lang w:val="en-US"/>
        </w:rPr>
      </w:pPr>
      <w:r w:rsidRPr="00E07021">
        <w:rPr>
          <w:lang w:val="en-US"/>
        </w:rPr>
        <w:t>Annex G (informative) –</w:t>
      </w:r>
      <w:r>
        <w:rPr>
          <w:lang w:val="en-US"/>
        </w:rPr>
        <w:t xml:space="preserve"> </w:t>
      </w:r>
      <w:r w:rsidRPr="00E07021">
        <w:rPr>
          <w:lang w:val="en-US"/>
        </w:rPr>
        <w:t xml:space="preserve">Security </w:t>
      </w:r>
      <w:r w:rsidR="000A6B34">
        <w:rPr>
          <w:lang w:val="en-US"/>
        </w:rPr>
        <w:t>c</w:t>
      </w:r>
      <w:r>
        <w:rPr>
          <w:lang w:val="en-US"/>
        </w:rPr>
        <w:t xml:space="preserve">omputation </w:t>
      </w:r>
      <w:r w:rsidR="000A6B34">
        <w:rPr>
          <w:lang w:val="en-US"/>
        </w:rPr>
        <w:t>e</w:t>
      </w:r>
      <w:r>
        <w:rPr>
          <w:lang w:val="en-US"/>
        </w:rPr>
        <w:t>xamples</w:t>
      </w:r>
      <w:r w:rsidRPr="00E07021">
        <w:rPr>
          <w:lang w:val="en-US"/>
        </w:rPr>
        <w:t xml:space="preserve"> </w:t>
      </w:r>
      <w:r>
        <w:rPr>
          <w:lang w:val="en-US"/>
        </w:rPr>
        <w:t>for</w:t>
      </w:r>
      <w:r w:rsidRPr="00E07021">
        <w:rPr>
          <w:lang w:val="en-US"/>
        </w:rPr>
        <w:t xml:space="preserve"> DES</w:t>
      </w:r>
    </w:p>
    <w:p w14:paraId="63C863D4" w14:textId="77777777" w:rsidR="00AA6FA9" w:rsidRPr="001B5920" w:rsidRDefault="00AA6FA9" w:rsidP="001B5920">
      <w:pPr>
        <w:pBdr>
          <w:top w:val="none" w:sz="4" w:space="0" w:color="000000"/>
          <w:left w:val="none" w:sz="4" w:space="0" w:color="000000"/>
          <w:bottom w:val="none" w:sz="4" w:space="0" w:color="000000"/>
          <w:right w:val="none" w:sz="4" w:space="0" w:color="000000"/>
        </w:pBdr>
        <w:spacing w:after="0" w:line="276" w:lineRule="auto"/>
        <w:jc w:val="both"/>
        <w:rPr>
          <w:rFonts w:eastAsia="Times New Roman" w:cs="Times New Roman"/>
          <w:lang w:val="en-GB" w:eastAsia="cs-CZ"/>
        </w:rPr>
      </w:pPr>
      <w:r w:rsidRPr="001B5920">
        <w:rPr>
          <w:rFonts w:eastAsia="Times New Roman" w:cs="Times New Roman"/>
          <w:lang w:val="en-GB" w:eastAsia="cs-CZ"/>
        </w:rPr>
        <w:t>Annex G, spanning 3 pages, provides a total of 4 numerical examples of security calculations according to the Data Encryption Standard (DES).</w:t>
      </w:r>
    </w:p>
    <w:p w14:paraId="43ECDA12" w14:textId="0436EF74" w:rsidR="00AA6FA9" w:rsidRPr="00E07021" w:rsidRDefault="00AA6FA9" w:rsidP="00AA6FA9">
      <w:pPr>
        <w:pStyle w:val="Nadpis1"/>
        <w:jc w:val="both"/>
        <w:rPr>
          <w:lang w:val="en-US"/>
        </w:rPr>
      </w:pPr>
      <w:r w:rsidRPr="00E07021">
        <w:rPr>
          <w:lang w:val="en-US"/>
        </w:rPr>
        <w:t xml:space="preserve">Annex H (normative) – Security </w:t>
      </w:r>
      <w:r w:rsidR="000A6B34">
        <w:rPr>
          <w:lang w:val="en-US"/>
        </w:rPr>
        <w:t>c</w:t>
      </w:r>
      <w:r w:rsidRPr="00E07021">
        <w:rPr>
          <w:lang w:val="en-US"/>
        </w:rPr>
        <w:t xml:space="preserve">alculations </w:t>
      </w:r>
      <w:r>
        <w:rPr>
          <w:lang w:val="en-US"/>
        </w:rPr>
        <w:t>for</w:t>
      </w:r>
      <w:r w:rsidRPr="00E07021">
        <w:rPr>
          <w:lang w:val="en-US"/>
        </w:rPr>
        <w:t xml:space="preserve"> AES</w:t>
      </w:r>
    </w:p>
    <w:p w14:paraId="7076BD2D" w14:textId="77777777" w:rsidR="00AA6FA9" w:rsidRPr="001B5920" w:rsidRDefault="00AA6FA9" w:rsidP="001B5920">
      <w:pPr>
        <w:pBdr>
          <w:top w:val="none" w:sz="4" w:space="0" w:color="000000"/>
          <w:left w:val="none" w:sz="4" w:space="0" w:color="000000"/>
          <w:bottom w:val="none" w:sz="4" w:space="0" w:color="000000"/>
          <w:right w:val="none" w:sz="4" w:space="0" w:color="000000"/>
        </w:pBdr>
        <w:spacing w:after="0" w:line="276" w:lineRule="auto"/>
        <w:jc w:val="both"/>
        <w:rPr>
          <w:rFonts w:eastAsia="Times New Roman" w:cs="Times New Roman"/>
          <w:lang w:val="en-GB" w:eastAsia="cs-CZ"/>
        </w:rPr>
      </w:pPr>
      <w:r w:rsidRPr="001B5920">
        <w:rPr>
          <w:rFonts w:eastAsia="Times New Roman" w:cs="Times New Roman"/>
          <w:lang w:val="en-GB" w:eastAsia="cs-CZ"/>
        </w:rPr>
        <w:t>Annex H, spanning 5 pages, contains a detailed definition of security calculations according to the Advanced Encryption Standard (AES).</w:t>
      </w:r>
    </w:p>
    <w:p w14:paraId="589605EF" w14:textId="45F3AB22" w:rsidR="00AA6FA9" w:rsidRPr="00E07021" w:rsidRDefault="00AA6FA9" w:rsidP="00AA6FA9">
      <w:pPr>
        <w:pStyle w:val="Nadpis1"/>
        <w:jc w:val="both"/>
        <w:rPr>
          <w:lang w:val="en-US"/>
        </w:rPr>
      </w:pPr>
      <w:r w:rsidRPr="00E07021">
        <w:rPr>
          <w:lang w:val="en-US"/>
        </w:rPr>
        <w:t xml:space="preserve">Annex I (informative) – Security </w:t>
      </w:r>
      <w:r w:rsidR="000A6B34">
        <w:rPr>
          <w:lang w:val="en-US"/>
        </w:rPr>
        <w:t>c</w:t>
      </w:r>
      <w:r>
        <w:rPr>
          <w:lang w:val="en-US"/>
        </w:rPr>
        <w:t xml:space="preserve">omputation </w:t>
      </w:r>
      <w:r w:rsidR="000A6B34">
        <w:rPr>
          <w:lang w:val="en-US"/>
        </w:rPr>
        <w:t>e</w:t>
      </w:r>
      <w:r>
        <w:rPr>
          <w:lang w:val="en-US"/>
        </w:rPr>
        <w:t>xamples</w:t>
      </w:r>
      <w:r w:rsidRPr="00E07021">
        <w:rPr>
          <w:lang w:val="en-US"/>
        </w:rPr>
        <w:t xml:space="preserve"> AES</w:t>
      </w:r>
    </w:p>
    <w:p w14:paraId="0E6E77FF" w14:textId="77777777" w:rsidR="00AA6FA9" w:rsidRPr="001B5920" w:rsidRDefault="00AA6FA9" w:rsidP="001B5920">
      <w:pPr>
        <w:pBdr>
          <w:top w:val="none" w:sz="4" w:space="0" w:color="000000"/>
          <w:left w:val="none" w:sz="4" w:space="0" w:color="000000"/>
          <w:bottom w:val="none" w:sz="4" w:space="0" w:color="000000"/>
          <w:right w:val="none" w:sz="4" w:space="0" w:color="000000"/>
        </w:pBdr>
        <w:spacing w:after="0" w:line="276" w:lineRule="auto"/>
        <w:jc w:val="both"/>
        <w:rPr>
          <w:rFonts w:eastAsia="Times New Roman" w:cs="Times New Roman"/>
          <w:lang w:val="en-GB" w:eastAsia="cs-CZ"/>
        </w:rPr>
      </w:pPr>
      <w:r w:rsidRPr="001B5920">
        <w:rPr>
          <w:rFonts w:eastAsia="Times New Roman" w:cs="Times New Roman"/>
          <w:lang w:val="en-GB" w:eastAsia="cs-CZ"/>
        </w:rPr>
        <w:t>Annex I, spanning 2 pages, provides a total of 4 numerical examples of security calculations according to the Advanced Encryption Standard (AES).</w:t>
      </w:r>
    </w:p>
    <w:bookmarkEnd w:id="7"/>
    <w:p w14:paraId="3EFE20C4" w14:textId="77777777" w:rsidR="00AA6FA9" w:rsidRPr="00E07021" w:rsidRDefault="00AA6FA9" w:rsidP="00AA6FA9">
      <w:pPr>
        <w:pStyle w:val="Textnormy"/>
        <w:rPr>
          <w:lang w:val="en-US"/>
        </w:rPr>
      </w:pPr>
    </w:p>
    <w:p w14:paraId="4D24FC94" w14:textId="77777777" w:rsidR="00680D7A" w:rsidRPr="00AA6FA9" w:rsidRDefault="00680D7A" w:rsidP="00AA6FA9">
      <w:pPr>
        <w:pStyle w:val="Nadpis1"/>
        <w:rPr>
          <w:lang w:val="en-US"/>
        </w:rPr>
      </w:pPr>
    </w:p>
    <w:sectPr w:rsidR="00680D7A" w:rsidRPr="00AA6FA9" w:rsidSect="009279F8">
      <w:footerReference w:type="even" r:id="rId15"/>
      <w:footerReference w:type="default" r:id="rId16"/>
      <w:pgSz w:w="11907" w:h="16840"/>
      <w:pgMar w:top="1134" w:right="964" w:bottom="1134" w:left="102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923EFD" w14:textId="77777777" w:rsidR="00574387" w:rsidRDefault="00574387">
      <w:r>
        <w:separator/>
      </w:r>
    </w:p>
    <w:p w14:paraId="7D49585B" w14:textId="77777777" w:rsidR="00155EC8" w:rsidRDefault="00155EC8"/>
  </w:endnote>
  <w:endnote w:type="continuationSeparator" w:id="0">
    <w:p w14:paraId="4C3E21C8" w14:textId="77777777" w:rsidR="00574387" w:rsidRDefault="00574387">
      <w:r>
        <w:continuationSeparator/>
      </w:r>
    </w:p>
    <w:p w14:paraId="2FAE1415" w14:textId="77777777" w:rsidR="00155EC8" w:rsidRDefault="00155E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Georgia">
    <w:panose1 w:val="02040502050405020303"/>
    <w:charset w:val="EE"/>
    <w:family w:val="roman"/>
    <w:pitch w:val="variable"/>
    <w:sig w:usb0="00000287" w:usb1="00000000" w:usb2="00000000" w:usb3="00000000" w:csb0="0000009F"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24FC9F" w14:textId="02202433" w:rsidR="0047356D" w:rsidRDefault="0047356D">
    <w:pPr>
      <w:spacing w:after="120"/>
      <w:ind w:right="360" w:firstLine="360"/>
      <w:jc w:val="center"/>
      <w:rPr>
        <w:sz w:val="18"/>
        <w:szCs w:val="18"/>
      </w:rPr>
    </w:pPr>
    <w:r>
      <w:rPr>
        <w:sz w:val="18"/>
        <w:szCs w:val="18"/>
      </w:rPr>
      <w:fldChar w:fldCharType="begin"/>
    </w:r>
    <w:r>
      <w:rPr>
        <w:sz w:val="18"/>
        <w:szCs w:val="18"/>
      </w:rPr>
      <w:instrText>PAGE</w:instrText>
    </w:r>
    <w:r>
      <w:rPr>
        <w:sz w:val="18"/>
        <w:szCs w:val="18"/>
      </w:rPr>
      <w:fldChar w:fldCharType="separate"/>
    </w:r>
    <w:r w:rsidR="00D97778">
      <w:rPr>
        <w:noProof/>
        <w:sz w:val="18"/>
        <w:szCs w:val="18"/>
      </w:rPr>
      <w:t>6</w:t>
    </w:r>
    <w:r>
      <w:rPr>
        <w:sz w:val="18"/>
        <w:szCs w:val="18"/>
      </w:rPr>
      <w:fldChar w:fldCharType="end"/>
    </w:r>
  </w:p>
  <w:p w14:paraId="4E879657" w14:textId="77777777" w:rsidR="00155EC8" w:rsidRDefault="00155EC8"/>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24FCA0" w14:textId="13545003" w:rsidR="0047356D" w:rsidRDefault="0047356D">
    <w:pPr>
      <w:spacing w:after="120"/>
      <w:ind w:right="360" w:firstLine="360"/>
      <w:jc w:val="center"/>
      <w:rPr>
        <w:sz w:val="18"/>
        <w:szCs w:val="18"/>
      </w:rPr>
    </w:pPr>
    <w:r>
      <w:rPr>
        <w:sz w:val="18"/>
        <w:szCs w:val="18"/>
      </w:rPr>
      <w:fldChar w:fldCharType="begin"/>
    </w:r>
    <w:r>
      <w:rPr>
        <w:sz w:val="18"/>
        <w:szCs w:val="18"/>
      </w:rPr>
      <w:instrText>PAGE</w:instrText>
    </w:r>
    <w:r>
      <w:rPr>
        <w:sz w:val="18"/>
        <w:szCs w:val="18"/>
      </w:rPr>
      <w:fldChar w:fldCharType="separate"/>
    </w:r>
    <w:r w:rsidR="00D97778">
      <w:rPr>
        <w:noProof/>
        <w:sz w:val="18"/>
        <w:szCs w:val="18"/>
      </w:rPr>
      <w:t>5</w:t>
    </w:r>
    <w:r>
      <w:rPr>
        <w:sz w:val="18"/>
        <w:szCs w:val="18"/>
      </w:rPr>
      <w:fldChar w:fldCharType="end"/>
    </w:r>
  </w:p>
  <w:p w14:paraId="53FAF09F" w14:textId="77777777" w:rsidR="00155EC8" w:rsidRDefault="00155EC8"/>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840BFE" w14:textId="77777777" w:rsidR="00574387" w:rsidRDefault="00574387">
      <w:r>
        <w:separator/>
      </w:r>
    </w:p>
    <w:p w14:paraId="47EFF0D3" w14:textId="77777777" w:rsidR="00155EC8" w:rsidRDefault="00155EC8"/>
  </w:footnote>
  <w:footnote w:type="continuationSeparator" w:id="0">
    <w:p w14:paraId="3FA171FB" w14:textId="77777777" w:rsidR="00574387" w:rsidRDefault="00574387">
      <w:r>
        <w:continuationSeparator/>
      </w:r>
    </w:p>
    <w:p w14:paraId="46CDD196" w14:textId="77777777" w:rsidR="00155EC8" w:rsidRDefault="00155EC8"/>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113B16"/>
    <w:multiLevelType w:val="hybridMultilevel"/>
    <w:tmpl w:val="D8606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AD5C69"/>
    <w:multiLevelType w:val="multilevel"/>
    <w:tmpl w:val="DEC6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03A55"/>
    <w:multiLevelType w:val="hybridMultilevel"/>
    <w:tmpl w:val="5B566E84"/>
    <w:lvl w:ilvl="0" w:tplc="2ADA55C2">
      <w:numFmt w:val="bullet"/>
      <w:lvlText w:val="•"/>
      <w:lvlJc w:val="left"/>
      <w:pPr>
        <w:ind w:left="1080" w:hanging="72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8D68A1"/>
    <w:multiLevelType w:val="hybridMultilevel"/>
    <w:tmpl w:val="83F24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CA692F"/>
    <w:multiLevelType w:val="hybridMultilevel"/>
    <w:tmpl w:val="20AEF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A75F81"/>
    <w:multiLevelType w:val="multilevel"/>
    <w:tmpl w:val="6B38C936"/>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 w15:restartNumberingAfterBreak="0">
    <w:nsid w:val="729623BC"/>
    <w:multiLevelType w:val="hybridMultilevel"/>
    <w:tmpl w:val="5A8065B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3"/>
  </w:num>
  <w:num w:numId="4">
    <w:abstractNumId w:val="2"/>
  </w:num>
  <w:num w:numId="5">
    <w:abstractNumId w:val="0"/>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4"/>
  <w:proofState w:spelling="clean" w:grammar="clean"/>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0D7A"/>
    <w:rsid w:val="0000768C"/>
    <w:rsid w:val="00042AAB"/>
    <w:rsid w:val="000508B0"/>
    <w:rsid w:val="00051089"/>
    <w:rsid w:val="0008295D"/>
    <w:rsid w:val="000A4ED6"/>
    <w:rsid w:val="000A6B34"/>
    <w:rsid w:val="00131A5A"/>
    <w:rsid w:val="00155EC8"/>
    <w:rsid w:val="001949C1"/>
    <w:rsid w:val="001B5920"/>
    <w:rsid w:val="00200A72"/>
    <w:rsid w:val="002076E2"/>
    <w:rsid w:val="002441BA"/>
    <w:rsid w:val="00254F2F"/>
    <w:rsid w:val="00304E60"/>
    <w:rsid w:val="003178C8"/>
    <w:rsid w:val="00345AF3"/>
    <w:rsid w:val="00410443"/>
    <w:rsid w:val="00434AF9"/>
    <w:rsid w:val="00444C8B"/>
    <w:rsid w:val="00457728"/>
    <w:rsid w:val="00464E96"/>
    <w:rsid w:val="0047356D"/>
    <w:rsid w:val="004A393F"/>
    <w:rsid w:val="004F3B48"/>
    <w:rsid w:val="00531982"/>
    <w:rsid w:val="00574387"/>
    <w:rsid w:val="005C2088"/>
    <w:rsid w:val="00616F17"/>
    <w:rsid w:val="006323C0"/>
    <w:rsid w:val="00654BA9"/>
    <w:rsid w:val="00680D7A"/>
    <w:rsid w:val="006C2F0E"/>
    <w:rsid w:val="006D2F64"/>
    <w:rsid w:val="007147D2"/>
    <w:rsid w:val="00734084"/>
    <w:rsid w:val="00745CCF"/>
    <w:rsid w:val="007510DC"/>
    <w:rsid w:val="00770005"/>
    <w:rsid w:val="007C7806"/>
    <w:rsid w:val="007F73E6"/>
    <w:rsid w:val="008666CB"/>
    <w:rsid w:val="00886653"/>
    <w:rsid w:val="00894988"/>
    <w:rsid w:val="0089721E"/>
    <w:rsid w:val="008A1DA4"/>
    <w:rsid w:val="008D2D03"/>
    <w:rsid w:val="00905F6D"/>
    <w:rsid w:val="009279F8"/>
    <w:rsid w:val="00930DE9"/>
    <w:rsid w:val="009D7A2A"/>
    <w:rsid w:val="00A05664"/>
    <w:rsid w:val="00A8456E"/>
    <w:rsid w:val="00AA6221"/>
    <w:rsid w:val="00AA6FA9"/>
    <w:rsid w:val="00AE1879"/>
    <w:rsid w:val="00B65E5D"/>
    <w:rsid w:val="00BA0B5A"/>
    <w:rsid w:val="00BE7E58"/>
    <w:rsid w:val="00C201D6"/>
    <w:rsid w:val="00D02DAA"/>
    <w:rsid w:val="00D245E0"/>
    <w:rsid w:val="00D97778"/>
    <w:rsid w:val="00DC1907"/>
    <w:rsid w:val="00DC2B4D"/>
    <w:rsid w:val="00DD7DE0"/>
    <w:rsid w:val="00DF3BD4"/>
    <w:rsid w:val="00DF609A"/>
    <w:rsid w:val="00E01E87"/>
    <w:rsid w:val="00E25E20"/>
    <w:rsid w:val="00F64E2C"/>
    <w:rsid w:val="00F75A3B"/>
    <w:rsid w:val="00FA6F06"/>
    <w:rsid w:val="00FF62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24FC17"/>
  <w15:docId w15:val="{B354CBF8-8E83-451B-A18A-30B29B009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cs" w:eastAsia="en-US"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rsid w:val="00304E60"/>
    <w:pPr>
      <w:spacing w:after="60"/>
    </w:pPr>
    <w:rPr>
      <w:color w:val="333333"/>
    </w:rPr>
  </w:style>
  <w:style w:type="paragraph" w:styleId="Nadpis1">
    <w:name w:val="heading 1"/>
    <w:basedOn w:val="Normln"/>
    <w:next w:val="Normln"/>
    <w:link w:val="Nadpis1Char"/>
    <w:uiPriority w:val="99"/>
    <w:qFormat/>
    <w:rsid w:val="006323C0"/>
    <w:pPr>
      <w:keepNext/>
      <w:keepLines/>
      <w:spacing w:before="240"/>
      <w:outlineLvl w:val="0"/>
    </w:pPr>
    <w:rPr>
      <w:rFonts w:eastAsia="Times New Roman" w:cs="Times New Roman"/>
      <w:b/>
      <w:color w:val="003366"/>
      <w:sz w:val="22"/>
      <w:lang w:val="en-GB" w:eastAsia="cs-CZ"/>
    </w:rPr>
  </w:style>
  <w:style w:type="paragraph" w:styleId="Nadpis2">
    <w:name w:val="heading 2"/>
    <w:basedOn w:val="Normln"/>
    <w:next w:val="Normln"/>
    <w:pPr>
      <w:keepNext/>
      <w:keepLines/>
      <w:spacing w:before="120" w:after="120"/>
      <w:outlineLvl w:val="1"/>
    </w:pPr>
    <w:rPr>
      <w:b/>
    </w:rPr>
  </w:style>
  <w:style w:type="paragraph" w:styleId="Nadpis3">
    <w:name w:val="heading 3"/>
    <w:basedOn w:val="Normln"/>
    <w:next w:val="Normln"/>
    <w:pPr>
      <w:keepNext/>
      <w:keepLines/>
      <w:spacing w:before="120" w:after="120"/>
      <w:outlineLvl w:val="2"/>
    </w:pPr>
    <w:rPr>
      <w:b/>
    </w:rPr>
  </w:style>
  <w:style w:type="paragraph" w:styleId="Nadpis4">
    <w:name w:val="heading 4"/>
    <w:basedOn w:val="Normln"/>
    <w:next w:val="Normln"/>
    <w:pPr>
      <w:keepNext/>
      <w:keepLines/>
      <w:spacing w:before="120" w:after="120"/>
      <w:outlineLvl w:val="3"/>
    </w:pPr>
    <w:rPr>
      <w:b/>
    </w:rPr>
  </w:style>
  <w:style w:type="paragraph" w:styleId="Nadpis5">
    <w:name w:val="heading 5"/>
    <w:basedOn w:val="Normln"/>
    <w:next w:val="Normln"/>
    <w:pPr>
      <w:keepNext/>
      <w:keepLines/>
      <w:spacing w:before="120" w:after="120"/>
      <w:outlineLvl w:val="4"/>
    </w:pPr>
    <w:rPr>
      <w:b/>
    </w:rPr>
  </w:style>
  <w:style w:type="paragraph" w:styleId="Nadpis6">
    <w:name w:val="heading 6"/>
    <w:basedOn w:val="Normln"/>
    <w:next w:val="Normln"/>
    <w:pPr>
      <w:keepNext/>
      <w:keepLines/>
      <w:spacing w:before="120" w:after="120"/>
      <w:outlineLvl w:val="5"/>
    </w:pPr>
    <w:rPr>
      <w:b/>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Nzev">
    <w:name w:val="Title"/>
    <w:basedOn w:val="Normln"/>
    <w:next w:val="Normln"/>
    <w:link w:val="NzevChar"/>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rsid w:val="003D0A66"/>
    <w:tblPr>
      <w:tblCellMar>
        <w:top w:w="0" w:type="dxa"/>
        <w:left w:w="0" w:type="dxa"/>
        <w:bottom w:w="0" w:type="dxa"/>
        <w:right w:w="0" w:type="dxa"/>
      </w:tblCellMar>
    </w:tblPr>
  </w:style>
  <w:style w:type="table" w:customStyle="1" w:styleId="a">
    <w:basedOn w:val="TableNormal4"/>
    <w:rsid w:val="003D0A66"/>
    <w:tblPr>
      <w:tblStyleRowBandSize w:val="1"/>
      <w:tblStyleColBandSize w:val="1"/>
      <w:tblCellMar>
        <w:left w:w="115" w:type="dxa"/>
        <w:right w:w="115" w:type="dxa"/>
      </w:tblCellMar>
    </w:tblPr>
  </w:style>
  <w:style w:type="paragraph" w:styleId="Textkomente">
    <w:name w:val="annotation text"/>
    <w:link w:val="TextkomenteChar"/>
    <w:uiPriority w:val="99"/>
    <w:unhideWhenUsed/>
    <w:rsid w:val="003D0A66"/>
  </w:style>
  <w:style w:type="character" w:customStyle="1" w:styleId="TextkomenteChar">
    <w:name w:val="Text komentáře Char"/>
    <w:basedOn w:val="Standardnpsmoodstavce"/>
    <w:link w:val="Textkomente"/>
    <w:uiPriority w:val="99"/>
    <w:rsid w:val="003D0A66"/>
  </w:style>
  <w:style w:type="character" w:styleId="Odkaznakoment">
    <w:name w:val="annotation reference"/>
    <w:basedOn w:val="Standardnpsmoodstavce"/>
    <w:uiPriority w:val="99"/>
    <w:semiHidden/>
    <w:unhideWhenUsed/>
    <w:rsid w:val="003D0A66"/>
    <w:rPr>
      <w:sz w:val="16"/>
      <w:szCs w:val="16"/>
    </w:rPr>
  </w:style>
  <w:style w:type="paragraph" w:styleId="Textbubliny">
    <w:name w:val="Balloon Text"/>
    <w:link w:val="TextbublinyChar"/>
    <w:uiPriority w:val="99"/>
    <w:semiHidden/>
    <w:unhideWhenUsed/>
    <w:rsid w:val="004E7B56"/>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4E7B56"/>
    <w:rPr>
      <w:rFonts w:ascii="Segoe UI" w:hAnsi="Segoe UI" w:cs="Segoe UI"/>
      <w:sz w:val="18"/>
      <w:szCs w:val="18"/>
    </w:rPr>
  </w:style>
  <w:style w:type="character" w:styleId="Siln">
    <w:name w:val="Strong"/>
    <w:basedOn w:val="Standardnpsmoodstavce"/>
    <w:uiPriority w:val="22"/>
    <w:qFormat/>
    <w:rsid w:val="004D249A"/>
    <w:rPr>
      <w:b/>
      <w:bCs/>
    </w:rPr>
  </w:style>
  <w:style w:type="paragraph" w:customStyle="1" w:styleId="Textnormy">
    <w:name w:val="Text normy"/>
    <w:link w:val="TextnormyChar1"/>
    <w:uiPriority w:val="99"/>
    <w:rsid w:val="00FE47D7"/>
    <w:pPr>
      <w:spacing w:after="120"/>
      <w:jc w:val="both"/>
    </w:pPr>
    <w:rPr>
      <w:rFonts w:eastAsia="Times New Roman" w:cs="Times New Roman"/>
    </w:rPr>
  </w:style>
  <w:style w:type="character" w:customStyle="1" w:styleId="TextnormyChar1">
    <w:name w:val="Text normy Char1"/>
    <w:basedOn w:val="Standardnpsmoodstavce"/>
    <w:link w:val="Textnormy"/>
    <w:uiPriority w:val="99"/>
    <w:rsid w:val="00FE47D7"/>
    <w:rPr>
      <w:rFonts w:eastAsia="Times New Roman" w:cs="Times New Roman"/>
    </w:rPr>
  </w:style>
  <w:style w:type="paragraph" w:styleId="Titulek">
    <w:name w:val="caption"/>
    <w:unhideWhenUsed/>
    <w:qFormat/>
    <w:rsid w:val="00FE47D7"/>
    <w:pPr>
      <w:pBdr>
        <w:top w:val="nil"/>
        <w:left w:val="nil"/>
        <w:bottom w:val="nil"/>
        <w:right w:val="nil"/>
        <w:between w:val="nil"/>
      </w:pBdr>
      <w:spacing w:after="200"/>
    </w:pPr>
    <w:rPr>
      <w:i/>
      <w:iCs/>
      <w:color w:val="1F497D" w:themeColor="text2"/>
      <w:sz w:val="18"/>
      <w:szCs w:val="18"/>
    </w:rPr>
  </w:style>
  <w:style w:type="paragraph" w:styleId="Odstavecseseznamem">
    <w:name w:val="List Paragraph"/>
    <w:uiPriority w:val="34"/>
    <w:qFormat/>
    <w:rsid w:val="00A106D9"/>
    <w:pPr>
      <w:ind w:left="720"/>
      <w:contextualSpacing/>
    </w:pPr>
  </w:style>
  <w:style w:type="table" w:styleId="Mkatabulky">
    <w:name w:val="Table Grid"/>
    <w:basedOn w:val="Normlntabulka"/>
    <w:uiPriority w:val="39"/>
    <w:rsid w:val="001F18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edmtkomente">
    <w:name w:val="annotation subject"/>
    <w:basedOn w:val="Textkomente"/>
    <w:next w:val="Textkomente"/>
    <w:link w:val="PedmtkomenteChar"/>
    <w:uiPriority w:val="99"/>
    <w:semiHidden/>
    <w:unhideWhenUsed/>
    <w:rsid w:val="002009E2"/>
    <w:rPr>
      <w:b/>
      <w:bCs/>
    </w:rPr>
  </w:style>
  <w:style w:type="character" w:customStyle="1" w:styleId="PedmtkomenteChar">
    <w:name w:val="Předmět komentáře Char"/>
    <w:basedOn w:val="TextkomenteChar"/>
    <w:link w:val="Pedmtkomente"/>
    <w:uiPriority w:val="99"/>
    <w:semiHidden/>
    <w:rsid w:val="002009E2"/>
    <w:rPr>
      <w:b/>
      <w:bCs/>
    </w:rPr>
  </w:style>
  <w:style w:type="table" w:customStyle="1" w:styleId="a0">
    <w:basedOn w:val="TableNormal4"/>
    <w:tblPr>
      <w:tblStyleRowBandSize w:val="1"/>
      <w:tblStyleColBandSize w:val="1"/>
      <w:tblCellMar>
        <w:left w:w="115" w:type="dxa"/>
        <w:right w:w="115" w:type="dxa"/>
      </w:tblCellMar>
    </w:tblPr>
  </w:style>
  <w:style w:type="table" w:customStyle="1" w:styleId="a1">
    <w:basedOn w:val="TableNormal4"/>
    <w:tblPr>
      <w:tblStyleRowBandSize w:val="1"/>
      <w:tblStyleColBandSize w:val="1"/>
      <w:tblCellMar>
        <w:left w:w="108" w:type="dxa"/>
        <w:right w:w="108" w:type="dxa"/>
      </w:tblCellMar>
    </w:tblPr>
  </w:style>
  <w:style w:type="table" w:customStyle="1" w:styleId="a2">
    <w:basedOn w:val="TableNormal3"/>
    <w:tblPr>
      <w:tblStyleRowBandSize w:val="1"/>
      <w:tblStyleColBandSize w:val="1"/>
      <w:tblCellMar>
        <w:left w:w="108" w:type="dxa"/>
        <w:right w:w="108" w:type="dxa"/>
      </w:tblCellMar>
    </w:tblPr>
  </w:style>
  <w:style w:type="table" w:customStyle="1" w:styleId="a3">
    <w:basedOn w:val="TableNormal3"/>
    <w:tblPr>
      <w:tblStyleRowBandSize w:val="1"/>
      <w:tblStyleColBandSize w:val="1"/>
      <w:tblCellMar>
        <w:left w:w="108" w:type="dxa"/>
        <w:right w:w="108" w:type="dxa"/>
      </w:tblCellMar>
    </w:tblPr>
  </w:style>
  <w:style w:type="paragraph" w:customStyle="1" w:styleId="1StrCN">
    <w:name w:val="1StrCN"/>
    <w:basedOn w:val="Textnormy"/>
    <w:rsid w:val="002E644C"/>
    <w:pPr>
      <w:spacing w:before="180" w:after="0" w:line="340" w:lineRule="exact"/>
      <w:jc w:val="left"/>
    </w:pPr>
    <w:rPr>
      <w:b/>
      <w:noProof/>
      <w:sz w:val="32"/>
    </w:rPr>
  </w:style>
  <w:style w:type="table" w:customStyle="1" w:styleId="a4">
    <w:basedOn w:val="TableNormal2"/>
    <w:tblPr>
      <w:tblStyleRowBandSize w:val="1"/>
      <w:tblStyleColBandSize w:val="1"/>
      <w:tblCellMar>
        <w:left w:w="108" w:type="dxa"/>
        <w:right w:w="108" w:type="dxa"/>
      </w:tblCellMar>
    </w:tblPr>
  </w:style>
  <w:style w:type="table" w:customStyle="1" w:styleId="a5">
    <w:basedOn w:val="TableNormal2"/>
    <w:tblPr>
      <w:tblStyleRowBandSize w:val="1"/>
      <w:tblStyleColBandSize w:val="1"/>
      <w:tblCellMar>
        <w:left w:w="115" w:type="dxa"/>
        <w:right w:w="115" w:type="dxa"/>
      </w:tblCellMar>
    </w:tblPr>
  </w:style>
  <w:style w:type="paragraph" w:styleId="Podnadpis">
    <w:name w:val="Subtitle"/>
    <w:basedOn w:val="Normln"/>
    <w:next w:val="Normln"/>
    <w:pPr>
      <w:keepNext/>
      <w:keepLines/>
      <w:spacing w:before="360" w:after="80"/>
    </w:pPr>
    <w:rPr>
      <w:rFonts w:ascii="Georgia" w:eastAsia="Georgia" w:hAnsi="Georgia" w:cs="Georgia"/>
      <w:i/>
      <w:color w:val="666666"/>
      <w:sz w:val="48"/>
      <w:szCs w:val="48"/>
    </w:rPr>
  </w:style>
  <w:style w:type="table" w:customStyle="1" w:styleId="a6">
    <w:basedOn w:val="TableNormal1"/>
    <w:tblPr>
      <w:tblStyleRowBandSize w:val="1"/>
      <w:tblStyleColBandSize w:val="1"/>
      <w:tblCellMar>
        <w:left w:w="108" w:type="dxa"/>
        <w:right w:w="108" w:type="dxa"/>
      </w:tblCellMar>
    </w:tblPr>
  </w:style>
  <w:style w:type="table" w:customStyle="1" w:styleId="a7">
    <w:basedOn w:val="TableNormal1"/>
    <w:tblPr>
      <w:tblStyleRowBandSize w:val="1"/>
      <w:tblStyleColBandSize w:val="1"/>
      <w:tblCellMar>
        <w:left w:w="115" w:type="dxa"/>
        <w:right w:w="115" w:type="dxa"/>
      </w:tblCellMar>
    </w:tblPr>
  </w:style>
  <w:style w:type="paragraph" w:styleId="Revize">
    <w:name w:val="Revision"/>
    <w:hidden/>
    <w:uiPriority w:val="99"/>
    <w:semiHidden/>
    <w:rsid w:val="00434AF9"/>
  </w:style>
  <w:style w:type="character" w:styleId="Hypertextovodkaz">
    <w:name w:val="Hyperlink"/>
    <w:basedOn w:val="Standardnpsmoodstavce"/>
    <w:uiPriority w:val="99"/>
    <w:unhideWhenUsed/>
    <w:rsid w:val="00051089"/>
    <w:rPr>
      <w:color w:val="0000FF" w:themeColor="hyperlink"/>
      <w:u w:val="single"/>
    </w:rPr>
  </w:style>
  <w:style w:type="character" w:customStyle="1" w:styleId="NzevChar">
    <w:name w:val="Název Char"/>
    <w:link w:val="Nzev"/>
    <w:rsid w:val="00E01E87"/>
    <w:rPr>
      <w:b/>
      <w:sz w:val="72"/>
      <w:szCs w:val="72"/>
    </w:rPr>
  </w:style>
  <w:style w:type="character" w:customStyle="1" w:styleId="Internetovodkaz">
    <w:name w:val="Internetový odkaz"/>
    <w:uiPriority w:val="99"/>
    <w:rsid w:val="00042AAB"/>
    <w:rPr>
      <w:color w:val="0000FF"/>
      <w:u w:val="single"/>
    </w:rPr>
  </w:style>
  <w:style w:type="paragraph" w:customStyle="1" w:styleId="1StrNN-2-4">
    <w:name w:val="1StrNN-2-4"/>
    <w:basedOn w:val="Normln"/>
    <w:rsid w:val="006323C0"/>
    <w:pPr>
      <w:widowControl w:val="0"/>
      <w:spacing w:before="640" w:after="0" w:line="340" w:lineRule="exact"/>
      <w:ind w:right="567"/>
    </w:pPr>
    <w:rPr>
      <w:rFonts w:eastAsia="Times New Roman" w:cs="Times New Roman"/>
      <w:b/>
      <w:sz w:val="28"/>
      <w:lang w:val="cs-CZ" w:eastAsia="cs-CZ"/>
    </w:rPr>
  </w:style>
  <w:style w:type="character" w:customStyle="1" w:styleId="Nadpis1Char">
    <w:name w:val="Nadpis 1 Char"/>
    <w:link w:val="Nadpis1"/>
    <w:uiPriority w:val="99"/>
    <w:rsid w:val="006323C0"/>
    <w:rPr>
      <w:rFonts w:eastAsia="Times New Roman" w:cs="Times New Roman"/>
      <w:b/>
      <w:color w:val="003366"/>
      <w:sz w:val="22"/>
      <w:lang w:val="en-GB"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so.org/obp"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www.standardland.cz/" TargetMode="External"/><Relationship Id="rId4" Type="http://schemas.openxmlformats.org/officeDocument/2006/relationships/settings" Target="settings.xml"/><Relationship Id="rId9" Type="http://schemas.openxmlformats.org/officeDocument/2006/relationships/hyperlink" Target="http://www.itsterminology.org/"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WpVghKwZ/ko4sIb7udbEvKDgw==">CgMxLjAyDmguNWo4enU2c2NzMXVvMghoLmdqZGd4czIJaC4zMGowemxsMg5oLnVoZjk3cjg1OThxZzIOaC52bDFleW8zNXlkejgyCWguMTdkcDh2dTIJaC4zcmRjcmpuMgloLjI2aW4xcmcyCGgubG54Yno5OABqKAoUc3VnZ2VzdC5oOWUyZXdzejNhM20SEFZsYWRpbcOtciBGYWx0dXNyITFQZXFJU0xhczFfczhJMGZqUE5McWlSXzRualhlTTdRTg==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6</Pages>
  <Words>1420</Words>
  <Characters>8792</Characters>
  <Application>Microsoft Office Word</Application>
  <DocSecurity>0</DocSecurity>
  <Lines>73</Lines>
  <Paragraphs>20</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gert</dc:creator>
  <cp:lastModifiedBy>Windows User</cp:lastModifiedBy>
  <cp:revision>13</cp:revision>
  <cp:lastPrinted>2026-05-27T13:46:00Z</cp:lastPrinted>
  <dcterms:created xsi:type="dcterms:W3CDTF">2026-08-03T11:00:00Z</dcterms:created>
  <dcterms:modified xsi:type="dcterms:W3CDTF">2026-08-03T13:39:00Z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39a420c1-e3de-4141-906b-06f9f0f3039c</vt:lpwstr>
  </property>
</Properties>
</file>