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475569"/>
          <w:sz w:val="20"/>
        </w:rPr>
        <w:t>BỘ GIÁO DỤC VÀ ĐÀO TẠO, TRƯỜNG ĐẠI HỌC CÔNG NGHỆ THÔNG TIN VÀ TRUYỀN THÔNG</w:t>
        <w:br/>
        <w:t>KHOA CÔNG NGHỆ THÔNG TIN</w:t>
      </w:r>
    </w:p>
    <w:p>
      <w:pPr>
        <w:spacing w:before="200" w:after="80"/>
        <w:jc w:val="center"/>
      </w:pPr>
      <w:r>
        <w:rPr>
          <w:rFonts w:ascii="Times New Roman" w:hAnsi="Times New Roman"/>
          <w:b/>
          <w:color w:val="0F172A"/>
          <w:sz w:val="30"/>
        </w:rPr>
        <w:t>ĐẶC TẢ YÊU CẦU PHẦN MỀM (SRS)</w:t>
      </w:r>
    </w:p>
    <w:p>
      <w:pPr>
        <w:spacing w:before="0" w:after="160"/>
        <w:jc w:val="center"/>
      </w:pPr>
      <w:r>
        <w:rPr>
          <w:rFonts w:ascii="Times New Roman" w:hAnsi="Times New Roman"/>
          <w:b/>
          <w:color w:val="0D9488"/>
          <w:sz w:val="24"/>
        </w:rPr>
        <w:t>HỆ THỐNG QUẢN LÝ PHÒNG KHÁM CÓ TÍCH HỢP AI (CMS-AI)</w:t>
      </w:r>
    </w:p>
    <w:tbl>
      <w:tblPr>
        <w:tblW w:type="auto" w:w="0"/>
        <w:jc w:val="center"/>
        <w:tblLayout w:type="fixed"/>
        <w:tblLook w:firstColumn="1" w:firstRow="1" w:lastColumn="0" w:lastRow="0" w:noHBand="0" w:noVBand="1" w:val="04A0"/>
      </w:tblPr>
      <w:tblGrid>
        <w:gridCol w:w="9360"/>
      </w:tblGrid>
      <w:tr>
        <w:tc>
          <w:tcPr>
            <w:tcW w:type="dxa" w:w="9029"/>
            <w:shd w:fill="F8FAFC"/>
            <w:tcMar>
              <w:top w:w="100" w:type="dxa"/>
              <w:bottom w:w="100" w:type="dxa"/>
              <w:left w:w="140" w:type="dxa"/>
              <w:right w:w="140" w:type="dxa"/>
            </w:tcMar>
          </w:tcPr>
          <w:p>
            <w:pPr>
              <w:spacing w:before="40" w:after="40" w:line="288" w:lineRule="auto"/>
            </w:pPr>
            <w:r>
              <w:rPr>
                <w:rFonts w:ascii="Times New Roman" w:hAnsi="Times New Roman"/>
                <w:b/>
                <w:color w:val="0F172A"/>
                <w:sz w:val="20"/>
              </w:rPr>
              <w:t xml:space="preserve">Đơn vị thực hiện: </w:t>
            </w:r>
            <w:r>
              <w:rPr>
                <w:rFonts w:ascii="Times New Roman" w:hAnsi="Times New Roman"/>
                <w:b w:val="0"/>
                <w:color w:val="0F172A"/>
                <w:sz w:val="20"/>
              </w:rPr>
              <w:t>Nhóm 03 (Lớp An toàn thông tin K23A, ICTU)</w:t>
              <w:br/>
            </w:r>
            <w:r>
              <w:rPr>
                <w:rFonts w:ascii="Times New Roman" w:hAnsi="Times New Roman"/>
                <w:b/>
                <w:color w:val="0F172A"/>
                <w:sz w:val="20"/>
              </w:rPr>
              <w:t>Thành viên nhóm:</w:t>
              <w:br/>
            </w:r>
            <w:r>
              <w:rPr>
                <w:rFonts w:ascii="Times New Roman" w:hAnsi="Times New Roman"/>
                <w:b w:val="0"/>
                <w:color w:val="0F172A"/>
                <w:sz w:val="20"/>
              </w:rPr>
              <w:t xml:space="preserve">1. Đinh Gia Bảo </w:t>
            </w:r>
            <w:r>
              <w:rPr>
                <w:rFonts w:ascii="Times New Roman" w:hAnsi="Times New Roman"/>
                <w:b/>
                <w:color w:val="0F172A"/>
                <w:sz w:val="20"/>
              </w:rPr>
              <w:t>(Trưởng nhóm, Kiến trúc hệ thống và AI Backend)</w:t>
              <w:br/>
            </w:r>
            <w:r>
              <w:rPr>
                <w:rFonts w:ascii="Times New Roman" w:hAnsi="Times New Roman"/>
                <w:b w:val="0"/>
                <w:color w:val="0F172A"/>
                <w:sz w:val="20"/>
              </w:rPr>
              <w:t xml:space="preserve">2. Trần Đặng Công Tâm </w:t>
            </w:r>
            <w:r>
              <w:rPr>
                <w:rFonts w:ascii="Times New Roman" w:hAnsi="Times New Roman"/>
                <w:b/>
                <w:color w:val="0F172A"/>
                <w:sz w:val="20"/>
              </w:rPr>
              <w:t>(Thành viên chính, Giao diện người dùng và Kiểm thử QA)</w:t>
              <w:br/>
            </w:r>
            <w:r>
              <w:rPr>
                <w:rFonts w:ascii="Times New Roman" w:hAnsi="Times New Roman"/>
                <w:b/>
                <w:color w:val="0F172A"/>
                <w:sz w:val="20"/>
              </w:rPr>
              <w:t xml:space="preserve">Tên ứng dụng: </w:t>
            </w:r>
            <w:r>
              <w:rPr>
                <w:rFonts w:ascii="Times New Roman" w:hAnsi="Times New Roman"/>
                <w:b w:val="0"/>
                <w:color w:val="0F172A"/>
                <w:sz w:val="20"/>
              </w:rPr>
              <w:t>Hệ thống quản lý phòng khám có tích hợp AI (CMS-AI)</w:t>
              <w:br/>
            </w:r>
            <w:r>
              <w:rPr>
                <w:rFonts w:ascii="Times New Roman" w:hAnsi="Times New Roman"/>
                <w:b/>
                <w:color w:val="0F172A"/>
                <w:sz w:val="20"/>
              </w:rPr>
              <w:t xml:space="preserve">Thời gian thực hiện: </w:t>
            </w:r>
            <w:r>
              <w:rPr>
                <w:rFonts w:ascii="Times New Roman" w:hAnsi="Times New Roman"/>
                <w:b w:val="0"/>
                <w:color w:val="0F172A"/>
                <w:sz w:val="20"/>
              </w:rPr>
              <w:t>Từ 27/07/2026 đến 27/09/2026 (Thời lượng 9 tuần)</w:t>
            </w:r>
          </w:p>
        </w:tc>
      </w:tr>
    </w:tbl>
    <w:p>
      <w:pPr>
        <w:spacing w:after="120"/>
      </w:pPr>
    </w:p>
    <w:p>
      <w:pPr>
        <w:pStyle w:val="Heading1"/>
        <w:spacing w:before="280" w:after="80"/>
      </w:pPr>
      <w:r>
        <w:rPr>
          <w:rFonts w:ascii="Times New Roman" w:hAnsi="Times New Roman"/>
          <w:b/>
          <w:color w:val="0F172A"/>
          <w:sz w:val="27"/>
        </w:rPr>
        <w:t>1. GIỚI THIỆU CHUNG</w:t>
      </w:r>
    </w:p>
    <w:p>
      <w:pPr>
        <w:pStyle w:val="Heading2"/>
        <w:spacing w:before="200" w:after="60"/>
      </w:pPr>
      <w:r>
        <w:rPr>
          <w:rFonts w:ascii="Times New Roman" w:hAnsi="Times New Roman"/>
          <w:b/>
          <w:color w:val="0F172A"/>
          <w:sz w:val="24"/>
        </w:rPr>
        <w:t>1.1. Mục đích</w:t>
      </w:r>
    </w:p>
    <w:p>
      <w:pPr>
        <w:spacing w:before="40" w:after="80" w:line="288" w:lineRule="auto"/>
      </w:pPr>
      <w:r>
        <w:rPr>
          <w:rFonts w:ascii="Times New Roman" w:hAnsi="Times New Roman"/>
          <w:color w:val="0F172A"/>
          <w:sz w:val="22"/>
        </w:rPr>
        <w:t>Tài liệu mô tả đầy đủ các yêu cầu chức năng, yêu cầu phi chức năng, ranh giới an toàn y tế và các ràng buộc thiết kế của Hệ thống quản lý phòng khám đa khoa có tích hợp AI (CMS-AI). Tài liệu là căn cứ pháp lý và kỹ thuật phục vụ việc phát triển, kiểm thử, nghiệm thu và chuyển giao sản phẩm.</w:t>
      </w:r>
    </w:p>
    <w:p>
      <w:pPr>
        <w:pStyle w:val="Heading2"/>
        <w:spacing w:before="200" w:after="60"/>
      </w:pPr>
      <w:r>
        <w:rPr>
          <w:rFonts w:ascii="Times New Roman" w:hAnsi="Times New Roman"/>
          <w:b/>
          <w:color w:val="0F172A"/>
          <w:sz w:val="24"/>
        </w:rPr>
        <w:t>1.2. Phạm vi</w:t>
      </w:r>
    </w:p>
    <w:p>
      <w:pPr>
        <w:spacing w:before="40" w:after="80" w:line="288" w:lineRule="auto"/>
      </w:pPr>
      <w:r>
        <w:rPr>
          <w:rFonts w:ascii="Times New Roman" w:hAnsi="Times New Roman"/>
          <w:color w:val="0F172A"/>
          <w:sz w:val="22"/>
        </w:rPr>
        <w:t>Hệ thống phục vụ công tác khám chữa bệnh ngoại trú tại phòng khám đa khoa tư nhân quy mô vừa và nhỏ. Các phân hệ chính gồm Quản lý tiếp đón người bệnh, Đặt lịch khám và chống trùng ca trực, Bàn khám bệnh lâm sàng EMR, Kê đơn thuốc điện tử, Quản lý viện phí và BHYT, cùng hệ thống Trợ lý AI Hành chính 3 lớp hỗ trợ tóm tắt hồ sơ, hỏi đáp quy trình khám và sinh hướng dẫn sau khám. Tài liệu này được sử dụng bởi Ban quản lý phòng khám, Đội ngũ kỹ sư phần mềm, Chuyên viên kiểm thử và Hội đồng đánh giá học phần.</w:t>
      </w:r>
    </w:p>
    <w:p>
      <w:pPr>
        <w:pStyle w:val="Heading2"/>
        <w:spacing w:before="200" w:after="60"/>
      </w:pPr>
      <w:r>
        <w:rPr>
          <w:rFonts w:ascii="Times New Roman" w:hAnsi="Times New Roman"/>
          <w:b/>
          <w:color w:val="0F172A"/>
          <w:sz w:val="24"/>
        </w:rPr>
        <w:t>1.3. Các định nghĩa, thuật ngữ, từ viết tắt</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257"/>
        <w:gridCol w:w="2257"/>
        <w:gridCol w:w="2257"/>
        <w:gridCol w:w="2257"/>
      </w:tblGrid>
      <w:tr>
        <w:tc>
          <w:tcPr>
            <w:tcW w:type="dxa" w:w="144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STT / Từ viết tắt</w:t>
            </w:r>
          </w:p>
        </w:tc>
        <w:tc>
          <w:tcPr>
            <w:tcW w:type="dxa" w:w="316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Thuật ngữ đầy đủ</w:t>
            </w:r>
          </w:p>
        </w:tc>
        <w:tc>
          <w:tcPr>
            <w:tcW w:type="dxa" w:w="331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Giải thích ý nghĩa</w:t>
            </w:r>
          </w:p>
        </w:tc>
        <w:tc>
          <w:tcPr>
            <w:tcW w:type="dxa" w:w="144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Ghi chú</w:t>
            </w:r>
          </w:p>
        </w:tc>
      </w:tr>
      <w:tr>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EMR</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Electronic Medical Record</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Hồ sơ bệnh án điện tử ghi nhận thông tin lâm sàng của người bệnh</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Chuẩn Bộ Y tế</w:t>
            </w:r>
          </w:p>
        </w:tc>
      </w:tr>
      <w:tr>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PII</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Personally Identifiable Information</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Thông tin định danh cá nhân nhạy cảm (CCCD, SĐT, BHYT, Tên)</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Nghị định 13/2023</w:t>
            </w:r>
          </w:p>
        </w:tc>
      </w:tr>
      <w:tr>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RBAC</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Role-Based Access Control</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Mô hình kiểm soát truy cập dựa trên 4 vai trò của nhân sự phòng khám</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An ninh hệ thống</w:t>
            </w:r>
          </w:p>
        </w:tc>
      </w:tr>
      <w:tr>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ICD-10</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International Classification of Diseases 10th</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Danh mục phân loại quốc tế về bệnh tật do WHO ban hành</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Mã hóa bệnh</w:t>
            </w:r>
          </w:p>
        </w:tc>
      </w:tr>
      <w:tr>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VietQR</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Vietnamese Quick Response code</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Chuẩn mã phản hồi nhanh thanh toán liên ngân hàng của NAPAS</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Thanh toán viện phí</w:t>
            </w:r>
          </w:p>
        </w:tc>
      </w:tr>
      <w:tr>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RAG</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Retrieval-Augmented Generation</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Kỹ thuật truy xuất thông tin từ cơ sở tri thức trước khi sinh phản hồi</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Chatbot FAQ</w:t>
            </w:r>
          </w:p>
        </w:tc>
      </w:tr>
      <w:tr>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JWT</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JSON Web Token</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Chuẩn mã định danh xác thực phiên làm việc an toàn giữa Client và Backend</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Xác thực API</w:t>
            </w:r>
          </w:p>
        </w:tc>
      </w:tr>
      <w:tr>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Guardrails</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Medical Safety Guardrails</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Tầng rào chắn an toàn ngăn chặn AI tự động đưa ra kết luận chẩn đoán</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Đạo đức y tế</w:t>
            </w:r>
          </w:p>
        </w:tc>
      </w:tr>
    </w:tbl>
    <w:p>
      <w:pPr>
        <w:spacing w:after="160"/>
      </w:pPr>
    </w:p>
    <w:p>
      <w:pPr>
        <w:pStyle w:val="Heading2"/>
        <w:spacing w:before="200" w:after="60"/>
      </w:pPr>
      <w:r>
        <w:rPr>
          <w:rFonts w:ascii="Times New Roman" w:hAnsi="Times New Roman"/>
          <w:b/>
          <w:color w:val="0F172A"/>
          <w:sz w:val="24"/>
        </w:rPr>
        <w:t>1.4. Tài liệu tham khảo</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010"/>
        <w:gridCol w:w="3010"/>
        <w:gridCol w:w="3010"/>
      </w:tblGrid>
      <w:tr>
        <w:tc>
          <w:tcPr>
            <w:tcW w:type="dxa" w:w="86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STT</w:t>
            </w:r>
          </w:p>
        </w:tc>
        <w:tc>
          <w:tcPr>
            <w:tcW w:type="dxa" w:w="5184"/>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tài liệu tham khảo</w:t>
            </w:r>
          </w:p>
        </w:tc>
        <w:tc>
          <w:tcPr>
            <w:tcW w:type="dxa" w:w="331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Cơ quan ban hành / Ghi chú</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w:t>
            </w:r>
          </w:p>
        </w:tc>
        <w:tc>
          <w:tcPr>
            <w:tcW w:type="dxa" w:w="51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Đề tài 03: Hệ thống quản lý phòng khám có tích hợp AI</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Khoa CNTT, Trường Đại học CNTT &amp; Truyền thông (ICTU)</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w:t>
            </w:r>
          </w:p>
        </w:tc>
        <w:tc>
          <w:tcPr>
            <w:tcW w:type="dxa" w:w="51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Nghị định 13/2023/NĐ-CP về Bảo vệ Dữ liệu Cá nhân</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Chính phủ nước Cộng hòa Xã hội Chủ nghĩa Việt Nam</w:t>
            </w:r>
          </w:p>
        </w:tc>
      </w:tr>
      <w:tr>
        <w:tc>
          <w:tcPr>
            <w:tcW w:type="dxa" w:w="86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w:t>
            </w:r>
          </w:p>
        </w:tc>
        <w:tc>
          <w:tcPr>
            <w:tcW w:type="dxa" w:w="518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Danh mục Bệnh tật Quốc tế ICD-10 và Danh mục Thuốc thiết yếu</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Bộ Y tế Việt Nam và Tổ chức Y tế Thế giới (WHO)</w:t>
            </w:r>
          </w:p>
        </w:tc>
      </w:tr>
      <w:tr>
        <w:tc>
          <w:tcPr>
            <w:tcW w:type="dxa" w:w="86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4</w:t>
            </w:r>
          </w:p>
        </w:tc>
        <w:tc>
          <w:tcPr>
            <w:tcW w:type="dxa" w:w="518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OWASP Top 10 API Security Risks và NIST AI Risk Management</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Tổ chức An ninh Ứng dụng Web Mở Quốc tế</w:t>
            </w:r>
          </w:p>
        </w:tc>
      </w:tr>
    </w:tbl>
    <w:p>
      <w:pPr>
        <w:spacing w:after="240"/>
      </w:pPr>
    </w:p>
    <w:p>
      <w:pPr>
        <w:pStyle w:val="Heading1"/>
        <w:spacing w:before="280" w:after="80"/>
      </w:pPr>
      <w:r>
        <w:rPr>
          <w:rFonts w:ascii="Times New Roman" w:hAnsi="Times New Roman"/>
          <w:b/>
          <w:color w:val="0F172A"/>
          <w:sz w:val="27"/>
        </w:rPr>
        <w:t>2. MÔ TẢ TỔNG QUAN ỨNG DỤNG</w:t>
      </w:r>
    </w:p>
    <w:p>
      <w:pPr>
        <w:pStyle w:val="Heading2"/>
        <w:spacing w:before="200" w:after="60"/>
      </w:pPr>
      <w:r>
        <w:rPr>
          <w:rFonts w:ascii="Times New Roman" w:hAnsi="Times New Roman"/>
          <w:b/>
          <w:color w:val="0F172A"/>
          <w:sz w:val="24"/>
        </w:rPr>
        <w:t>2.1. Mô hình Use Case tổng quát</w:t>
      </w:r>
    </w:p>
    <w:p>
      <w:pPr>
        <w:spacing w:before="40" w:after="80" w:line="288" w:lineRule="auto"/>
      </w:pPr>
      <w:r>
        <w:rPr>
          <w:rFonts w:ascii="Times New Roman" w:hAnsi="Times New Roman"/>
          <w:color w:val="0F172A"/>
          <w:sz w:val="22"/>
        </w:rPr>
        <w:t>Mô hình Use Case tổng quát thể hiện mối liên kết giữa bốn nhóm tác nhân người dùng, một tác nhân dịch vụ ngoài (Google Gemini Live API) và 13 Use Case cốt lõi phân tầng thuộc 5 phân hệ nghiệp vụ chính của phòng khám:</w:t>
      </w:r>
    </w:p>
    <w:p>
      <w:pPr>
        <w:spacing w:before="160" w:after="60"/>
        <w:jc w:val="center"/>
      </w:pPr>
      <w:r>
        <w:drawing>
          <wp:inline xmlns:a="http://schemas.openxmlformats.org/drawingml/2006/main" xmlns:pic="http://schemas.openxmlformats.org/drawingml/2006/picture">
            <wp:extent cx="5760720" cy="4182441"/>
            <wp:docPr id="1" name="Picture 1"/>
            <wp:cNvGraphicFramePr>
              <a:graphicFrameLocks noChangeAspect="1"/>
            </wp:cNvGraphicFramePr>
            <a:graphic>
              <a:graphicData uri="http://schemas.openxmlformats.org/drawingml/2006/picture">
                <pic:pic>
                  <pic:nvPicPr>
                    <pic:cNvPr id="0" name="diagram_usecase_general.png"/>
                    <pic:cNvPicPr/>
                  </pic:nvPicPr>
                  <pic:blipFill>
                    <a:blip r:embed="rId9"/>
                    <a:stretch>
                      <a:fillRect/>
                    </a:stretch>
                  </pic:blipFill>
                  <pic:spPr>
                    <a:xfrm>
                      <a:off x="0" y="0"/>
                      <a:ext cx="5760720" cy="4182441"/>
                    </a:xfrm>
                    <a:prstGeom prst="rect"/>
                  </pic:spPr>
                </pic:pic>
              </a:graphicData>
            </a:graphic>
          </wp:inline>
        </w:drawing>
      </w:r>
    </w:p>
    <w:p>
      <w:pPr>
        <w:spacing w:before="40" w:after="200"/>
        <w:jc w:val="center"/>
      </w:pPr>
      <w:r>
        <w:rPr>
          <w:rFonts w:ascii="Times New Roman" w:hAnsi="Times New Roman"/>
          <w:i/>
          <w:color w:val="475569"/>
          <w:sz w:val="19"/>
        </w:rPr>
        <w:t>Hình 2.1: Sơ đồ Use Case tổng quát Hệ thống quản lý phòng khám CMS-AI (UML Use Case)</w:t>
      </w:r>
    </w:p>
    <w:p>
      <w:pPr>
        <w:spacing w:before="40" w:after="80" w:line="288" w:lineRule="auto"/>
      </w:pPr>
      <w:r>
        <w:rPr>
          <w:rFonts w:ascii="Times New Roman" w:hAnsi="Times New Roman"/>
          <w:color w:val="0F172A"/>
          <w:sz w:val="22"/>
        </w:rPr>
        <w:t>Bên cạnh sơ đồ chức năng tĩnh, luồng vận hành nghiệp vụ lâm sàng khép kín (End-to-End Activity Flow) từ khi bệnh nhân bước vào phòng khám cho đến khi ra về và uống thuốc tại nhà được thể hiện trực quan dưới đây:</w:t>
      </w:r>
    </w:p>
    <w:p>
      <w:pPr>
        <w:spacing w:before="160" w:after="60"/>
        <w:jc w:val="center"/>
      </w:pPr>
      <w:r>
        <w:drawing>
          <wp:inline xmlns:a="http://schemas.openxmlformats.org/drawingml/2006/main" xmlns:pic="http://schemas.openxmlformats.org/drawingml/2006/picture">
            <wp:extent cx="5760720" cy="3529713"/>
            <wp:docPr id="2" name="Picture 2"/>
            <wp:cNvGraphicFramePr>
              <a:graphicFrameLocks noChangeAspect="1"/>
            </wp:cNvGraphicFramePr>
            <a:graphic>
              <a:graphicData uri="http://schemas.openxmlformats.org/drawingml/2006/picture">
                <pic:pic>
                  <pic:nvPicPr>
                    <pic:cNvPr id="0" name="diagram_business_activity_flow.png"/>
                    <pic:cNvPicPr/>
                  </pic:nvPicPr>
                  <pic:blipFill>
                    <a:blip r:embed="rId10"/>
                    <a:stretch>
                      <a:fillRect/>
                    </a:stretch>
                  </pic:blipFill>
                  <pic:spPr>
                    <a:xfrm>
                      <a:off x="0" y="0"/>
                      <a:ext cx="5760720" cy="3529713"/>
                    </a:xfrm>
                    <a:prstGeom prst="rect"/>
                  </pic:spPr>
                </pic:pic>
              </a:graphicData>
            </a:graphic>
          </wp:inline>
        </w:drawing>
      </w:r>
    </w:p>
    <w:p>
      <w:pPr>
        <w:spacing w:before="40" w:after="200"/>
        <w:jc w:val="center"/>
      </w:pPr>
      <w:r>
        <w:rPr>
          <w:rFonts w:ascii="Times New Roman" w:hAnsi="Times New Roman"/>
          <w:i/>
          <w:color w:val="475569"/>
          <w:sz w:val="19"/>
        </w:rPr>
        <w:t>Hình 2.2: Sơ đồ luồng hoạt động nghiệp vụ lâm sàng khép kín (End-to-End Activity Flowchart)</w:t>
      </w:r>
    </w:p>
    <w:p>
      <w:pPr>
        <w:pStyle w:val="Heading2"/>
        <w:spacing w:before="200" w:after="60"/>
      </w:pPr>
      <w:r>
        <w:rPr>
          <w:rFonts w:ascii="Times New Roman" w:hAnsi="Times New Roman"/>
          <w:b/>
          <w:color w:val="0F172A"/>
          <w:sz w:val="24"/>
        </w:rPr>
        <w:t>2.2. Danh sách các tác nhân và mô tả</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010"/>
        <w:gridCol w:w="3010"/>
        <w:gridCol w:w="3010"/>
      </w:tblGrid>
      <w:tr>
        <w:tc>
          <w:tcPr>
            <w:tcW w:type="dxa" w:w="259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Tác nhân</w:t>
            </w:r>
          </w:p>
        </w:tc>
        <w:tc>
          <w:tcPr>
            <w:tcW w:type="dxa" w:w="532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Mô tả tác nhân</w:t>
            </w:r>
          </w:p>
        </w:tc>
        <w:tc>
          <w:tcPr>
            <w:tcW w:type="dxa" w:w="144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Ghi chú</w:t>
            </w:r>
          </w:p>
        </w:tc>
      </w:tr>
      <w:tr>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trị viên (Admin)</w:t>
            </w:r>
          </w:p>
        </w:tc>
        <w:tc>
          <w:tcPr>
            <w:tcW w:type="dxa" w:w="53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Toàn quyền quản trị tài khoản, phân ca làm việc bác sĩ, quản lý danh mục thuốc, dịch vụ khám và giám sát nhật ký an ninh.</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Nhân sự CNTT phòng khám</w:t>
            </w:r>
          </w:p>
        </w:tc>
      </w:tr>
      <w:tr>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Lễ tân (Receptionist)</w:t>
            </w:r>
          </w:p>
        </w:tc>
        <w:tc>
          <w:tcPr>
            <w:tcW w:type="dxa" w:w="53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Tiếp đón người bệnh, tra cứu thông tin hành chính, đăng ký tài khoản bệnh nhân, điều phối lịch hẹn và quản lý hàng đợi.</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Bộ phận Tiền sảnh</w:t>
            </w:r>
          </w:p>
        </w:tc>
      </w:tr>
      <w:tr>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(Doctor)</w:t>
            </w:r>
          </w:p>
        </w:tc>
        <w:tc>
          <w:tcPr>
            <w:tcW w:type="dxa" w:w="53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Khám lâm sàng, ghi nhận sinh hiệu, chẩn đoán bệnh theo mã ICD-10, kê đơn thuốc và sử dụng trợ lý AI tóm tắt bệnh sử.</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Bộ phận Chuyên môn</w:t>
            </w:r>
          </w:p>
        </w:tc>
      </w:tr>
      <w:tr>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Kế toán (Accountant)</w:t>
            </w:r>
          </w:p>
        </w:tc>
        <w:tc>
          <w:tcPr>
            <w:tcW w:type="dxa" w:w="532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Tiếp nhận hồ sơ khám hoàn thành, tính toán viện phí, áp dụng mức giảm trừ BHYT, xuất mã VietQR và in biên lai thu tiền.</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Bộ phận Tài chính</w:t>
            </w:r>
          </w:p>
        </w:tc>
      </w:tr>
      <w:tr>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Gemini Live API (External)</w:t>
            </w:r>
          </w:p>
        </w:tc>
        <w:tc>
          <w:tcPr>
            <w:tcW w:type="dxa" w:w="532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Dịch vụ trí tuệ nhân tạo đám mây hỗ trợ xử lý ngôn ngữ tự nhiên: tóm tắt bệnh sử, hỏi đáp FAQ và sinh hướng dẫn sau khám.</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Nhà cung cấp ngoại vi</w:t>
            </w:r>
          </w:p>
        </w:tc>
      </w:tr>
    </w:tbl>
    <w:p>
      <w:pPr>
        <w:spacing w:after="160"/>
      </w:pPr>
    </w:p>
    <w:p>
      <w:pPr>
        <w:pStyle w:val="Heading2"/>
        <w:spacing w:before="200" w:after="60"/>
      </w:pPr>
      <w:r>
        <w:rPr>
          <w:rFonts w:ascii="Times New Roman" w:hAnsi="Times New Roman"/>
          <w:b/>
          <w:color w:val="0F172A"/>
          <w:sz w:val="24"/>
        </w:rPr>
        <w:t>2.3. Danh sách Use Case và mô tả</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06"/>
        <w:gridCol w:w="1806"/>
        <w:gridCol w:w="1806"/>
        <w:gridCol w:w="1806"/>
        <w:gridCol w:w="1806"/>
      </w:tblGrid>
      <w:tr>
        <w:tc>
          <w:tcPr>
            <w:tcW w:type="dxa" w:w="115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ID</w:t>
            </w:r>
          </w:p>
        </w:tc>
        <w:tc>
          <w:tcPr>
            <w:tcW w:type="dxa" w:w="259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Tên Use case</w:t>
            </w:r>
          </w:p>
        </w:tc>
        <w:tc>
          <w:tcPr>
            <w:tcW w:type="dxa" w:w="316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Mô tả ngắn gọn Use case</w:t>
            </w:r>
          </w:p>
        </w:tc>
        <w:tc>
          <w:tcPr>
            <w:tcW w:type="dxa" w:w="144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Chức năng</w:t>
            </w:r>
          </w:p>
        </w:tc>
        <w:tc>
          <w:tcPr>
            <w:tcW w:type="dxa" w:w="100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Ghi chú</w:t>
            </w:r>
          </w:p>
        </w:tc>
      </w:tr>
      <w:tr>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UC001</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Đăng nhập &amp; Phân quyền RBAC</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Xác thực người dùng qua JWT và phân quyền theo 4 vai trò</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lý nhân sự</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Bắt buộc</w:t>
            </w:r>
          </w:p>
        </w:tc>
      </w:tr>
      <w:tr>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UC002</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lý hồ sơ bệnh nhân</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Tạo mới, tìm kiếm CCCD/SĐT, chỉnh sửa thông tin hành chính</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Tiếp đón</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Bắt buộc</w:t>
            </w:r>
          </w:p>
        </w:tc>
      </w:tr>
      <w:tr>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UC003</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Đặt lịch &amp; Chống trùng lịch</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Tạo lịch hẹn và kiểm tra xung đột thời gian bác sĩ/phòng khám</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Lịch hẹn</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Cốt lõi</w:t>
            </w:r>
          </w:p>
        </w:tc>
      </w:tr>
      <w:tr>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UC004</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Khám lâm sàng EMR</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Nhập dấu hiệu sinh tồn, tính BMI, chẩn đoán mã ICD-10</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Bàn khám</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Cốt lõi</w:t>
            </w:r>
          </w:p>
        </w:tc>
      </w:tr>
      <w:tr>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UC005</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Kê đơn &amp; Cảnh báo dị ứng</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Kê thuốc từ danh mục, đối soát dị ứng tiền sử bệnh nhân</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Dược khoa</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Cốt lõi</w:t>
            </w:r>
          </w:p>
        </w:tc>
      </w:tr>
      <w:tr>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UC006</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Thanh toán &amp; Mã VietQR</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Tính viện phí, giảm trừ BHYT 80-100%, sinh mã thanh toán VietQR</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Viện phí</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Cốt lõi</w:t>
            </w:r>
          </w:p>
        </w:tc>
      </w:tr>
      <w:tr>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UC007</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AI Tóm tắt hồ sơ Pre-visit</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Khử định danh PII và tóm tắt diễn tiến bệnh lý cho bác sĩ</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Trợ lý AI</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Tính năng AI</w:t>
            </w:r>
          </w:p>
        </w:tc>
      </w:tr>
      <w:tr>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UC008</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AI Chatbot hỏi đáp FAQ RAG</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Hỏi đáp thủ tục khám, bảng giá và BHYT từ cơ sở tri thức RAG</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Trợ lý AI</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Tính năng AI</w:t>
            </w:r>
          </w:p>
        </w:tc>
      </w:tr>
      <w:tr>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UC009</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AI Dặn dò sau khám</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Sinh hướng dẫn uống thuốc, chế độ ăn và hẹn tái khám theo mẫu</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Trợ lý AI</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Tính năng AI</w:t>
            </w:r>
          </w:p>
        </w:tc>
      </w:tr>
      <w:tr>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UC010</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Phân ca làm việc bác sĩ</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Phân lịch trực theo tuần và khóa khung giờ ngoài ca trực</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trị</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Bắt buộc</w:t>
            </w:r>
          </w:p>
        </w:tc>
      </w:tr>
      <w:tr>
        <w:tc>
          <w:tcPr>
            <w:tcW w:type="dxa" w:w="115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UC011</w:t>
            </w:r>
          </w:p>
        </w:tc>
        <w:tc>
          <w:tcPr>
            <w:tcW w:type="dxa" w:w="259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trị danh mục dược phẩm</w:t>
            </w:r>
          </w:p>
        </w:tc>
        <w:tc>
          <w:tcPr>
            <w:tcW w:type="dxa" w:w="316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Thêm mới, cập nhật đơn giá, quản lý số lượng tồn kho thuốc</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Dược khoa</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Bắt buộc</w:t>
            </w:r>
          </w:p>
        </w:tc>
      </w:tr>
      <w:tr>
        <w:tc>
          <w:tcPr>
            <w:tcW w:type="dxa" w:w="115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UC012</w:t>
            </w:r>
          </w:p>
        </w:tc>
        <w:tc>
          <w:tcPr>
            <w:tcW w:type="dxa" w:w="259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Giám sát nhật ký hệ thống</w:t>
            </w:r>
          </w:p>
        </w:tc>
        <w:tc>
          <w:tcPr>
            <w:tcW w:type="dxa" w:w="316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Xem nhật ký kiểm toán thao tác nhạy cảm và nhật ký gọi AI</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An ninh</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Tuân thủ</w:t>
            </w:r>
          </w:p>
        </w:tc>
      </w:tr>
    </w:tbl>
    <w:p>
      <w:pPr>
        <w:spacing w:after="160"/>
      </w:pPr>
    </w:p>
    <w:p>
      <w:pPr>
        <w:pStyle w:val="Heading2"/>
        <w:spacing w:before="200" w:after="60"/>
      </w:pPr>
      <w:r>
        <w:rPr>
          <w:rFonts w:ascii="Times New Roman" w:hAnsi="Times New Roman"/>
          <w:b/>
          <w:color w:val="0F172A"/>
          <w:sz w:val="24"/>
        </w:rPr>
        <w:t>2.4. Các điều kiện phụ thuộc kỹ thuật</w:t>
      </w:r>
    </w:p>
    <w:p>
      <w:pPr>
        <w:spacing w:before="40" w:after="80" w:line="288" w:lineRule="auto"/>
      </w:pPr>
      <w:r>
        <w:rPr>
          <w:rFonts w:ascii="Times New Roman" w:hAnsi="Times New Roman"/>
          <w:color w:val="0F172A"/>
          <w:sz w:val="22"/>
        </w:rPr>
        <w:t>Hệ thống vận hành trên môi trường mạng nội bộ phòng khám hoặc đám mây với các yêu cầu kỹ thuật: Máy chủ chạy hệ điều hành Linux/Windows hỗ trợ Docker Compose; Cơ sở dữ liệu quan hệ MySQL phiên bản 8.0 / PostgreSQL 15; Hậu tầng Backend xây dựng bằng ngôn ngữ Python với framework FastAPI và thư viện SQLAlchemy ORM; Giao diện Frontend xây dựng bằng thư viện React 18, Vite và Tailwind CSS; Kết nối mạng Internet băng thông tối thiểu 10 Mbps để giao tiếp với dịch vụ Google Gemini Live API; Môi trường kiểm thử tự động sử dụng Pytest 8.3 và FastAPI TestClient với 323 ca kiểm thử đạt tỷ lệ pass 100%.</w:t>
      </w:r>
    </w:p>
    <w:p>
      <w:pPr>
        <w:pStyle w:val="Heading1"/>
        <w:spacing w:before="280" w:after="80"/>
      </w:pPr>
      <w:r>
        <w:rPr>
          <w:rFonts w:ascii="Times New Roman" w:hAnsi="Times New Roman"/>
          <w:b/>
          <w:color w:val="0F172A"/>
          <w:sz w:val="27"/>
        </w:rPr>
        <w:t>3. ĐẶC TẢ CÁC YÊU CẦU CHỨC NĂNG (FUNCTIONAL)</w:t>
      </w:r>
    </w:p>
    <w:p>
      <w:pPr>
        <w:pStyle w:val="Heading2"/>
        <w:spacing w:before="200" w:after="60"/>
      </w:pPr>
      <w:r>
        <w:rPr>
          <w:rFonts w:ascii="Times New Roman" w:hAnsi="Times New Roman"/>
          <w:b/>
          <w:color w:val="0F172A"/>
          <w:sz w:val="24"/>
        </w:rPr>
        <w:t>3.1. Đặc tả Use Case UC001: Đăng nhập và Phân quyền người dùng (RBAC)</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880"/>
        <w:gridCol w:w="6480"/>
      </w:tblGrid>
      <w:tr>
        <w:tc>
          <w:tcPr>
            <w:tcW w:type="dxa" w:w="9028"/>
            <w:gridSpan w:val="2"/>
            <w:shd w:fill="1E293B"/>
            <w:tcMar>
              <w:top w:w="90" w:type="dxa"/>
              <w:bottom w:w="90" w:type="dxa"/>
              <w:left w:w="130" w:type="dxa"/>
              <w:right w:w="130" w:type="dxa"/>
            </w:tcMar>
            <w:vAlign w:val="center"/>
            <w:shd w:fill="1E293B"/>
            <w:tcMar>
              <w:top w:w="90" w:type="dxa"/>
              <w:bottom w:w="90" w:type="dxa"/>
              <w:left w:w="130" w:type="dxa"/>
              <w:right w:w="130" w:type="dxa"/>
            </w:tcMar>
          </w:tcPr>
          <w:p>
            <w:pPr>
              <w:spacing w:before="40" w:after="40" w:line="276" w:lineRule="auto"/>
            </w:pPr>
            <w:r>
              <w:rPr>
                <w:rFonts w:ascii="Times New Roman" w:hAnsi="Times New Roman"/>
                <w:b/>
                <w:color w:val="FFFFFF"/>
                <w:sz w:val="20"/>
              </w:rPr>
              <w:t>Use case: UC001_Đăng nhập và Phân quyền người dùng (RBAC)</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Mục đích:</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Xác thực danh tính nhân sự y tế và cấp quyền truy cập theo đúng vai trò.</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Mô tả:</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dùng đăng nhập bằng tài khoản được cấp. Hệ thống xác thực bằng Bcrypt băm mật khẩu, sinh JWT Token chứa vai trò (Admin, Receptionist, Doctor, Accountant).</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Tác nhân tác động:</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trị viên, Lễ tân, Bác sĩ, Kế toán</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trước:</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dùng đã có tài khoản kích hoạt trong CSDL.</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sau:</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Hệ thống cấp Access Token JWT có thời hạn 60 phút, chuyển hướng vào đúng bảng điều khiển theo vai trò.</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chính (Basic flows):</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 Người dùng mở trang đăng nhập hệ thống (/login).</w:t>
              <w:br/>
              <w:t>2. Người dùng nhập Tên đăng nhập (username) và Mật khẩu (password).</w:t>
              <w:br/>
              <w:t>3. Người dùng nhấn nút 'Đăng nhập'.</w:t>
              <w:br/>
              <w:t>4. Hệ thống kiểm tra tài khoản, xác thực mật khẩu băm Bcrypt qua hàm verify_password().</w:t>
              <w:br/>
              <w:t>5. Hệ thống sinh mã JWT Token chứa thông tin user_id và role.</w:t>
              <w:br/>
              <w:t>6. Trình duyệt lưu Token vào LocalStorage và chuyển hướng vào Dashboard theo quyền hạn.</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phụ (Alternative flows):</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4a. Sai tên đăng nhập hoặc mật khẩu: Hệ thống trả về mã lỗi 401 Unauthorized kèm thông báo 'Thông tin đăng nhập không chính xác'.</w:t>
              <w:br/>
              <w:t>4b. Tài khoản bị vô hiệu hóa: Hệ thống trả về mã lỗi 403 Forbidden kèm thông báo 'Tài khoản đã bị khóa bởi Quản trị viên'.</w:t>
              <w:br/>
              <w:t>5a. Token hết hạn: Khi thực hiện yêu cầu mới, hệ thống tự động đăng xuất và yêu cầu đăng nhập lại.</w:t>
            </w:r>
          </w:p>
        </w:tc>
      </w:tr>
    </w:tbl>
    <w:p>
      <w:pPr>
        <w:spacing w:after="80"/>
      </w:pPr>
    </w:p>
    <w:p>
      <w:pPr>
        <w:pStyle w:val="Heading3"/>
        <w:spacing w:before="120" w:after="40"/>
      </w:pPr>
      <w:r>
        <w:rPr>
          <w:rFonts w:ascii="Times New Roman" w:hAnsi="Times New Roman"/>
          <w:b/>
          <w:color w:val="475569"/>
          <w:sz w:val="22"/>
        </w:rPr>
        <w:t>Biểu đồ nghiệp vụ (Sequence Diagram) cho UC001:</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sequenceDiagram</w:t>
              <w:br/>
              <w:t xml:space="preserve">    autonumber</w:t>
              <w:br/>
              <w:t xml:space="preserve">    actor User as Nhân sự phòng khám</w:t>
              <w:br/>
              <w:t xml:space="preserve">    participant UI as Giao diện Login</w:t>
              <w:br/>
              <w:t xml:space="preserve">    participant API as Auth API (/api/v1/auth)</w:t>
              <w:br/>
              <w:t xml:space="preserve">    participant Sec as Security Engine (Bcrypt)</w:t>
              <w:br/>
              <w:t xml:space="preserve">    participant DB as CSDL MySQL</w:t>
              <w:br/>
              <w:br/>
              <w:t xml:space="preserve">    User-&gt;&gt;UI: Nhập username và password</w:t>
              <w:br/>
              <w:t xml:space="preserve">    UI-&gt;&gt;API: POST /api/v1/auth/login</w:t>
              <w:br/>
              <w:t xml:space="preserve">    API-&gt;&gt;DB: Query thông tin user theo username</w:t>
              <w:br/>
              <w:t xml:space="preserve">    DB--&gt;&gt;API: Trả về hashed_password, role, is_active</w:t>
              <w:br/>
              <w:t xml:space="preserve">    API-&gt;&gt;Sec: verify_password(plain, hashed)</w:t>
              <w:br/>
              <w:t xml:space="preserve">    Sec--&gt;&gt;API: Mật khẩu chính xác (True)</w:t>
              <w:br/>
              <w:t xml:space="preserve">    API-&gt;&gt;API: create_access_token(user_id, role, exp=60m)</w:t>
              <w:br/>
              <w:t xml:space="preserve">    API--&gt;&gt;UI: 200 OK {access_token, token_type: "bearer", role}</w:t>
              <w:br/>
              <w:t xml:space="preserve">    UI--&gt;&gt;User: Điều hướng tới Dashboard chuyên trách</w:t>
            </w:r>
          </w:p>
        </w:tc>
      </w:tr>
    </w:tbl>
    <w:p>
      <w:pPr>
        <w:spacing w:after="80"/>
      </w:pPr>
    </w:p>
    <w:p>
      <w:pPr>
        <w:pStyle w:val="Heading2"/>
        <w:spacing w:before="200" w:after="60"/>
      </w:pPr>
      <w:r>
        <w:rPr>
          <w:rFonts w:ascii="Times New Roman" w:hAnsi="Times New Roman"/>
          <w:b/>
          <w:color w:val="0F172A"/>
          <w:sz w:val="24"/>
        </w:rPr>
        <w:t>3.2. Đặc tả Use Case UC002: Tiếp đón và Quản lý hồ sơ bệnh nhân</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880"/>
        <w:gridCol w:w="6480"/>
      </w:tblGrid>
      <w:tr>
        <w:tc>
          <w:tcPr>
            <w:tcW w:type="dxa" w:w="9028"/>
            <w:gridSpan w:val="2"/>
            <w:shd w:fill="1E293B"/>
            <w:tcMar>
              <w:top w:w="90" w:type="dxa"/>
              <w:bottom w:w="90" w:type="dxa"/>
              <w:left w:w="130" w:type="dxa"/>
              <w:right w:w="130" w:type="dxa"/>
            </w:tcMar>
            <w:vAlign w:val="center"/>
            <w:shd w:fill="1E293B"/>
            <w:tcMar>
              <w:top w:w="90" w:type="dxa"/>
              <w:bottom w:w="90" w:type="dxa"/>
              <w:left w:w="130" w:type="dxa"/>
              <w:right w:w="130" w:type="dxa"/>
            </w:tcMar>
          </w:tcPr>
          <w:p>
            <w:pPr>
              <w:spacing w:before="40" w:after="40" w:line="276" w:lineRule="auto"/>
            </w:pPr>
            <w:r>
              <w:rPr>
                <w:rFonts w:ascii="Times New Roman" w:hAnsi="Times New Roman"/>
                <w:b/>
                <w:color w:val="FFFFFF"/>
                <w:sz w:val="20"/>
              </w:rPr>
              <w:t>Use case: UC002_Tiếp đón và Quản lý hồ sơ bệnh nhân</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Mục đích:</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Tìm kiếm, đăng ký mới và quản lý thông tin hành chính, tiền sử dị ứng của người bệnh.</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Mô tả:</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Lễ tân tra cứu nhanh hồ sơ bệnh nhân theo số điện thoại hoặc CCCD. Nếu chưa có, tạo mới hồ sơ bệnh nhân kèm số thẻ BHYT và ghi nhận tiền sử dị ứng thuốc.</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Tác nhân tác động:</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Lễ tân, Bác sĩ</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trước:</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Lễ tân đã đăng nhập vào hệ thống với vai trò Receptionist hoặc Admin.</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sau:</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Hồ sơ bệnh nhân được lưu trữ trong CSDL, mã y tế duy nhất (medical_code) được cấp phát tự động.</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chính (Basic flows):</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 Lễ tân vào phân hệ Tiếp đón bệnh nhân.</w:t>
              <w:br/>
              <w:t>2. Nhập số CCCD hoặc Số điện thoại vào ô tìm kiếm nhanh.</w:t>
              <w:br/>
              <w:t>3. Nếu bệnh nhân đã có hồ sơ cũ: Hệ thống hiển thị thông tin để đối chiếu và mở ca khám mới.</w:t>
              <w:br/>
              <w:t>4. Nếu bệnh nhân mới: Lễ tân nhấn 'Đăng ký bệnh nhân mới', nhập họ tên, ngày sinh, giới tính, địa chỉ, số CCCD, số BHYT và tiền sử dị ứng thuốc.</w:t>
              <w:br/>
              <w:t>5. Lễ tân nhấn 'Lưu hồ sơ'.</w:t>
              <w:br/>
              <w:t>6. Hệ thống kiểm tra tính duy nhất của CCCD/SĐT, sinh mã BN tự động và thêm vào hàng đợi.</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phụ (Alternative flows):</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4a. Số CCCD hoặc Số BHYT đã tồn tại trong hệ thống: Hệ thống thông báo trùng lặp và mở hồ sơ đã có để kiểm tra.</w:t>
              <w:br/>
              <w:t>4b. Dữ liệu ngày sinh không hợp lệ: Hệ thống cảnh báo đỏ và yêu cầu sửa lại trước khi lưu.</w:t>
            </w:r>
          </w:p>
        </w:tc>
      </w:tr>
    </w:tbl>
    <w:p>
      <w:pPr>
        <w:spacing w:after="80"/>
      </w:pPr>
    </w:p>
    <w:p>
      <w:pPr>
        <w:pStyle w:val="Heading3"/>
        <w:spacing w:before="120" w:after="40"/>
      </w:pPr>
      <w:r>
        <w:rPr>
          <w:rFonts w:ascii="Times New Roman" w:hAnsi="Times New Roman"/>
          <w:b/>
          <w:color w:val="475569"/>
          <w:sz w:val="22"/>
        </w:rPr>
        <w:t>Biểu đồ nghiệp vụ (Activity Diagram) cho UC002:</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flowchart TD</w:t>
              <w:br/>
              <w:t xml:space="preserve">    Start([Bắt đầu tiếp đón]) --&gt; Search[Tra cứu CCCD hoặc Số điện thoại]</w:t>
              <w:br/>
              <w:t xml:space="preserve">    Search --&gt; Found{Bệnh nhân đã có hồ sơ?}</w:t>
              <w:br/>
              <w:t xml:space="preserve">    Found -- Có --&gt; ConfirmInfo[Đối chiếu thông tin cá nhân]</w:t>
              <w:br/>
              <w:t xml:space="preserve">    ConfirmInfo --&gt; CreateQueue[Đưa vào hàng đợi chờ khám]</w:t>
              <w:br/>
              <w:t xml:space="preserve">    Found -- Chưa --&gt; InputForm[Nhập thông tin hành chính, BHYT, Dị ứng]</w:t>
              <w:br/>
              <w:t xml:space="preserve">    InputForm --&gt; Validate[Kiểm tra định dạng và tính hợp lệ]</w:t>
              <w:br/>
              <w:t xml:space="preserve">    Validate --&gt; Valid{Dữ liệu hợp lệ?}</w:t>
              <w:br/>
              <w:t xml:space="preserve">    Valid -- Không --&gt; AlertErr[Báo lỗi định dạng và yêu cầu nhập lại]</w:t>
              <w:br/>
              <w:t xml:space="preserve">    AlertErr --&gt; InputForm</w:t>
              <w:br/>
              <w:t xml:space="preserve">    Valid -- Có --&gt; SaveDB[Lưu vào CSDL và sinh mã BN tự động]</w:t>
              <w:br/>
              <w:t xml:space="preserve">    SaveDB --&gt; CreateQueue</w:t>
              <w:br/>
              <w:t xml:space="preserve">    CreateQueue --&gt; End([Hoàn thành tiếp đón và in số thứ tự])</w:t>
            </w:r>
          </w:p>
        </w:tc>
      </w:tr>
    </w:tbl>
    <w:p>
      <w:pPr>
        <w:spacing w:after="80"/>
      </w:pPr>
    </w:p>
    <w:p>
      <w:pPr>
        <w:pStyle w:val="Heading2"/>
        <w:spacing w:before="200" w:after="60"/>
      </w:pPr>
      <w:r>
        <w:rPr>
          <w:rFonts w:ascii="Times New Roman" w:hAnsi="Times New Roman"/>
          <w:b/>
          <w:color w:val="0F172A"/>
          <w:sz w:val="24"/>
        </w:rPr>
        <w:t>3.3. Đặc tả Use Case UC003: Đặt lịch khám và Kiểm tra trùng lịch</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880"/>
        <w:gridCol w:w="6480"/>
      </w:tblGrid>
      <w:tr>
        <w:tc>
          <w:tcPr>
            <w:tcW w:type="dxa" w:w="9028"/>
            <w:gridSpan w:val="2"/>
            <w:shd w:fill="1E293B"/>
            <w:tcMar>
              <w:top w:w="90" w:type="dxa"/>
              <w:bottom w:w="90" w:type="dxa"/>
              <w:left w:w="130" w:type="dxa"/>
              <w:right w:w="130" w:type="dxa"/>
            </w:tcMar>
            <w:vAlign w:val="center"/>
            <w:shd w:fill="1E293B"/>
            <w:tcMar>
              <w:top w:w="90" w:type="dxa"/>
              <w:bottom w:w="90" w:type="dxa"/>
              <w:left w:w="130" w:type="dxa"/>
              <w:right w:w="130" w:type="dxa"/>
            </w:tcMar>
          </w:tcPr>
          <w:p>
            <w:pPr>
              <w:spacing w:before="40" w:after="40" w:line="276" w:lineRule="auto"/>
            </w:pPr>
            <w:r>
              <w:rPr>
                <w:rFonts w:ascii="Times New Roman" w:hAnsi="Times New Roman"/>
                <w:b/>
                <w:color w:val="FFFFFF"/>
                <w:sz w:val="20"/>
              </w:rPr>
              <w:t>Use case: UC003_Đặt lịch khám và Kiểm tra trùng lịch</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Mục đích:</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Cho phép lễ tân hoặc người bệnh đặt lịch hẹn khám mà không bị trùng khung giờ của bác sĩ hoặc phòng khám.</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Mô tả:</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Hệ thống kiểm tra tính khả dụng của bác sĩ và phòng khám dựa trên thuật toán giao thoa khoảng thời gian trước khi xác nhận lưu lịch hẹn.</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Tác nhân tác động:</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Lễ tân, Quản trị viên</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trước:</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bệnh đã có hồ sơ trong hệ thống; Bác sĩ có ca trực hợp lệ trong ngày cần đặt.</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sau:</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Lịch hẹn mới được ghi nhận vào CSDL với trạng thái 'confirmed', hiển thị trên lịch trực của bác sĩ.</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chính (Basic flows):</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 Lễ tân chọn người bệnh từ danh bạ hoặc nhập mã định danh bệnh nhân.</w:t>
              <w:br/>
              <w:t>2. Lễ tân chọn chuyên khoa, bác sĩ phụ trách, phòng khám và khung giờ mong muốn (VD: 08:30 - 09:00).</w:t>
              <w:br/>
              <w:t>3. Hệ thống kích hoạt ConflictChecker kiểm tra điều kiện [S1, E1) giao [S2, E2) trên CSDL.</w:t>
              <w:br/>
              <w:t>4. Hệ thống xác nhận không có xung đột lịch của bác sĩ và phòng khám.</w:t>
              <w:br/>
              <w:t>5. Lễ tân nhấn 'Xác nhận đặt lịch'.</w:t>
              <w:br/>
              <w:t>6. Hệ thống lưu bản ghi lịch hẹn và cập nhật lịch làm việc.</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phụ (Alternative flows):</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3a. Bác sĩ đã có lịch hẹn khác giao nhau về thời gian: Hệ thống thông báo lỗi trùng lịch và gợi ý khung giờ trống gần nhất.</w:t>
              <w:br/>
              <w:t>3b. Phòng khám đang có ca khám khác: Hệ thống thông báo phòng bận và đề xuất phòng khám thay thế.</w:t>
              <w:br/>
              <w:t>3c. Thời gian đặt nằm ngoài ca trực của bác sĩ: Hệ thống từ chối và yêu cầu chọn lại trong ca trực.</w:t>
            </w:r>
          </w:p>
        </w:tc>
      </w:tr>
    </w:tbl>
    <w:p>
      <w:pPr>
        <w:spacing w:after="80"/>
      </w:pPr>
    </w:p>
    <w:p>
      <w:pPr>
        <w:pStyle w:val="Heading3"/>
        <w:spacing w:before="120" w:after="40"/>
      </w:pPr>
      <w:r>
        <w:rPr>
          <w:rFonts w:ascii="Times New Roman" w:hAnsi="Times New Roman"/>
          <w:b/>
          <w:color w:val="475569"/>
          <w:sz w:val="22"/>
        </w:rPr>
        <w:t>Biểu đồ nghiệp vụ (Sequence Diagram) cho UC003:</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sequenceDiagram</w:t>
              <w:br/>
              <w:t xml:space="preserve">    autonumber</w:t>
              <w:br/>
              <w:t xml:space="preserve">    actor Receptionist as Lễ tân</w:t>
              <w:br/>
              <w:t xml:space="preserve">    participant UI as Giao diện Web</w:t>
              <w:br/>
              <w:t xml:space="preserve">    participant API as Appointments API</w:t>
              <w:br/>
              <w:t xml:space="preserve">    participant Engine as ConflictChecker</w:t>
              <w:br/>
              <w:t xml:space="preserve">    participant DB as CSDL MySQL</w:t>
              <w:br/>
              <w:br/>
              <w:t xml:space="preserve">    Receptionist-&gt;&gt;UI: Nhập thông tin lịch hẹn (BN, Bác sĩ, Khung giờ)</w:t>
              <w:br/>
              <w:t xml:space="preserve">    UI-&gt;&gt;API: POST /api/v1/appointments/ (payload)</w:t>
              <w:br/>
              <w:t xml:space="preserve">    API-&gt;&gt;Engine: check_conflict(doctor_id, room_id, start_time, end_time)</w:t>
              <w:br/>
              <w:t xml:space="preserve">    Engine-&gt;&gt;DB: Query các lịch hẹn trùng khung giờ</w:t>
              <w:br/>
              <w:t xml:space="preserve">    DB--&gt;&gt;Engine: Trả về 0 bản ghi xung đột</w:t>
              <w:br/>
              <w:t xml:space="preserve">    Engine--&gt;&gt;API: ConflictStatus: VALID (Không xung đột)</w:t>
              <w:br/>
              <w:t xml:space="preserve">    API-&gt;&gt;DB: INSERT INTO appointments (...)</w:t>
              <w:br/>
              <w:t xml:space="preserve">    DB--&gt;&gt;API: appointment_id = 105, status='confirmed'</w:t>
              <w:br/>
              <w:t xml:space="preserve">    API--&gt;&gt;UI: 201 Created (Chi tiết lịch hẹn)</w:t>
              <w:br/>
              <w:t xml:space="preserve">    UI--&gt;&gt;Receptionist: Hiển thị thông báo đặt lịch thành công</w:t>
            </w:r>
          </w:p>
        </w:tc>
      </w:tr>
    </w:tbl>
    <w:p>
      <w:pPr>
        <w:spacing w:after="80"/>
      </w:pPr>
    </w:p>
    <w:p>
      <w:pPr>
        <w:pStyle w:val="Heading2"/>
        <w:spacing w:before="200" w:after="60"/>
      </w:pPr>
      <w:r>
        <w:rPr>
          <w:rFonts w:ascii="Times New Roman" w:hAnsi="Times New Roman"/>
          <w:b/>
          <w:color w:val="0F172A"/>
          <w:sz w:val="24"/>
        </w:rPr>
        <w:t>3.4. Đặc tả Use Case UC004: Khám lâm sàng EMR và Ghi nhận sinh hiệu</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880"/>
        <w:gridCol w:w="6480"/>
      </w:tblGrid>
      <w:tr>
        <w:tc>
          <w:tcPr>
            <w:tcW w:type="dxa" w:w="9028"/>
            <w:gridSpan w:val="2"/>
            <w:shd w:fill="1E293B"/>
            <w:tcMar>
              <w:top w:w="90" w:type="dxa"/>
              <w:bottom w:w="90" w:type="dxa"/>
              <w:left w:w="130" w:type="dxa"/>
              <w:right w:w="130" w:type="dxa"/>
            </w:tcMar>
            <w:vAlign w:val="center"/>
            <w:shd w:fill="1E293B"/>
            <w:tcMar>
              <w:top w:w="90" w:type="dxa"/>
              <w:bottom w:w="90" w:type="dxa"/>
              <w:left w:w="130" w:type="dxa"/>
              <w:right w:w="130" w:type="dxa"/>
            </w:tcMar>
          </w:tcPr>
          <w:p>
            <w:pPr>
              <w:spacing w:before="40" w:after="40" w:line="276" w:lineRule="auto"/>
            </w:pPr>
            <w:r>
              <w:rPr>
                <w:rFonts w:ascii="Times New Roman" w:hAnsi="Times New Roman"/>
                <w:b/>
                <w:color w:val="FFFFFF"/>
                <w:sz w:val="20"/>
              </w:rPr>
              <w:t>Use case: UC004_Khám lâm sàng EMR và Ghi nhận sinh hiệu</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Mục đích:</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Ghi nhận toàn diện kết quả thăm khám lâm sàng, chỉ số sinh hiệu và kết luận chẩn đoán mã ICD-10.</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Mô tả:</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nhập triệu chứng, chỉ số sinh tồn (HA, mạch, SpO2, BMI), chẩn đoán mã bệnh theo chuẩn quốc tế ICD-10.</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Tác nhân tác động:</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trước:</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đã đăng nhập thành công; Người bệnh đang ở trạng thái 'in_progress' trong hàng đợi khám.</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sau:</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Hồ sơ bệnh án điện tử EMR được lưu trữ hoàn tất, sẵn sàng chuyển sang kê đơn hoặc chỉ định cận lâm sàng.</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chính (Basic flows):</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 Bác sĩ mở hồ sơ bệnh án của bệnh nhân từ danh sách chờ khám.</w:t>
              <w:br/>
              <w:t>2. Bác sĩ nhập triệu chứng ban đầu và các chỉ số sinh hiệu (Huyết áp, Mạch, Nhiệt độ, SpO2, Chiều cao, Cân nặng).</w:t>
              <w:br/>
              <w:t>3. Hệ thống tự động tính chỉ số BMI và hiển thị đánh giá thể trạng.</w:t>
              <w:br/>
              <w:t>4. Bác sĩ tìm kiếm và chọn mã bệnh theo danh mục chuẩn quốc tế ICD-10.</w:t>
              <w:br/>
              <w:t>5. Bác sĩ nhập tóm tắt kết luận lâm sàng và hướng điều trị.</w:t>
              <w:br/>
              <w:t>6. Bác sĩ bấm 'Lưu kết quả khám'.</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phụ (Alternative flows):</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2a. Chỉ số huyết áp hoặc nhịp tim ngoài ngưỡng an toàn sinh lý: Hệ thống hiển thị cảnh báo viền đỏ nổi bật nhắc bác sĩ kiểm tra lại.</w:t>
              <w:br/>
              <w:t>4a. Mã ICD-10 không tồn tại: Hệ thống gợi ý tìm kiếm theo từ khóa triệu chứng tiếng Việt tương đương.</w:t>
            </w:r>
          </w:p>
        </w:tc>
      </w:tr>
    </w:tbl>
    <w:p>
      <w:pPr>
        <w:spacing w:after="80"/>
      </w:pPr>
    </w:p>
    <w:p>
      <w:pPr>
        <w:pStyle w:val="Heading3"/>
        <w:spacing w:before="120" w:after="40"/>
      </w:pPr>
      <w:r>
        <w:rPr>
          <w:rFonts w:ascii="Times New Roman" w:hAnsi="Times New Roman"/>
          <w:b/>
          <w:color w:val="475569"/>
          <w:sz w:val="22"/>
        </w:rPr>
        <w:t>Biểu đồ nghiệp vụ (Activity Diagram) cho UC004:</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flowchart TD</w:t>
              <w:br/>
              <w:t xml:space="preserve">    Start([Bắt đầu ca khám]) --&gt; OpenEMR[Mở hồ sơ bệnh án EMR]</w:t>
              <w:br/>
              <w:t xml:space="preserve">    OpenEMR --&gt; InputVitals[Nhập sinh hiệu: HA, Mạch, SpO2, Cân nặng, Chiều cao]</w:t>
              <w:br/>
              <w:t xml:space="preserve">    InputVitals --&gt; CalcBMI[Hệ thống tự động tính BMI và cảnh báo thể trạng]</w:t>
              <w:br/>
              <w:t xml:space="preserve">    CalcBMI --&gt; SelectICD[Tra cứu và chọn mã chẩn đoán ICD-10]</w:t>
              <w:br/>
              <w:t xml:space="preserve">    SelectICD --&gt; SaveRecord[Lưu bệnh án EMR hoàn tất]</w:t>
              <w:br/>
              <w:t xml:space="preserve">    SaveRecord --&gt; End([Chuyển tiếp kê đơn thuốc])</w:t>
            </w:r>
          </w:p>
        </w:tc>
      </w:tr>
    </w:tbl>
    <w:p>
      <w:pPr>
        <w:spacing w:after="80"/>
      </w:pPr>
    </w:p>
    <w:p>
      <w:pPr>
        <w:pStyle w:val="Heading2"/>
        <w:spacing w:before="200" w:after="60"/>
      </w:pPr>
      <w:r>
        <w:rPr>
          <w:rFonts w:ascii="Times New Roman" w:hAnsi="Times New Roman"/>
          <w:b/>
          <w:color w:val="0F172A"/>
          <w:sz w:val="24"/>
        </w:rPr>
        <w:t>3.5. Đặc tả Use Case UC005: Kê đơn thuốc điện tử và Cảnh báo tương tác dị ứng</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880"/>
        <w:gridCol w:w="6480"/>
      </w:tblGrid>
      <w:tr>
        <w:tc>
          <w:tcPr>
            <w:tcW w:type="dxa" w:w="9028"/>
            <w:gridSpan w:val="2"/>
            <w:shd w:fill="1E293B"/>
            <w:tcMar>
              <w:top w:w="90" w:type="dxa"/>
              <w:bottom w:w="90" w:type="dxa"/>
              <w:left w:w="130" w:type="dxa"/>
              <w:right w:w="130" w:type="dxa"/>
            </w:tcMar>
            <w:vAlign w:val="center"/>
            <w:shd w:fill="1E293B"/>
            <w:tcMar>
              <w:top w:w="90" w:type="dxa"/>
              <w:bottom w:w="90" w:type="dxa"/>
              <w:left w:w="130" w:type="dxa"/>
              <w:right w:w="130" w:type="dxa"/>
            </w:tcMar>
          </w:tcPr>
          <w:p>
            <w:pPr>
              <w:spacing w:before="40" w:after="40" w:line="276" w:lineRule="auto"/>
            </w:pPr>
            <w:r>
              <w:rPr>
                <w:rFonts w:ascii="Times New Roman" w:hAnsi="Times New Roman"/>
                <w:b/>
                <w:color w:val="FFFFFF"/>
                <w:sz w:val="20"/>
              </w:rPr>
              <w:t>Use case: UC005_Kê đơn thuốc điện tử và Cảnh báo tương tác dị ứng</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Mục đích:</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Hỗ trợ bác sĩ lập đơn thuốc điện tử an toàn, đối soát tự động thành phần thuốc với tiền sử dị ứng của người bệnh.</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Mô tả:</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chọn thuốc từ kho dược, chỉ định liều lượng, số lượng và tần suất uống. Hệ thống kiểm tra đối soát với tiền sử dị ứng đã lưu của bệnh nhân.</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Tác nhân tác động:</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trước:</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Ca khám bệnh án EMR đã hoàn thành bước chẩn đoán xác định bệnh.</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sau:</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Đơn thuốc được tạo thành công, số lượng thuốc tồn kho được giữ chỗ tạm thời.</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chính (Basic flows):</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 Bác sĩ nhấn nút 'Kê đơn thuốc' trên màn hình EMR.</w:t>
              <w:br/>
              <w:t>2. Bác sĩ gõ tên thuốc hoặc hoạt chất, hệ thống hiển thị danh mục thuốc có sẵn trong kho.</w:t>
              <w:br/>
              <w:t>3. Bác sĩ chọn thuốc, nhập số lượng, số lần uống trong ngày (Sáng, Trưa, Chiều, Tối), số ngày dùng.</w:t>
              <w:br/>
              <w:t>4. Hệ thống tự động kích hoạt hàm check_drug_allergy(medicine_name) đối chiếu tiền sử dị ứng của bệnh nhân.</w:t>
              <w:br/>
              <w:t>5. Hệ thống xác nhận an toàn không có xung đột dị ứng.</w:t>
              <w:br/>
              <w:t>6. Bác sĩ nhấn 'Ký đơn thuốc và chuyển thu ngân'.</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phụ (Alternative flows):</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4a. Phát hiện thành phần hoạt chất trùng với tiền sử dị ứng: Hệ thống hiển thị hộp cảnh báo màu đỏ kèm thông tin dị ứng cụ thể, yêu cầu bác sĩ đổi thuốc khác.</w:t>
              <w:br/>
              <w:t>3a. Số lượng thuốc yêu cầu vượt quá số lượng tồn kho: Hệ thống hiển thị cảnh báo hết thuốc và đề xuất số lượng tối đa hiện có.</w:t>
            </w:r>
          </w:p>
        </w:tc>
      </w:tr>
    </w:tbl>
    <w:p>
      <w:pPr>
        <w:spacing w:after="80"/>
      </w:pPr>
    </w:p>
    <w:p>
      <w:pPr>
        <w:pStyle w:val="Heading3"/>
        <w:spacing w:before="120" w:after="40"/>
      </w:pPr>
      <w:r>
        <w:rPr>
          <w:rFonts w:ascii="Times New Roman" w:hAnsi="Times New Roman"/>
          <w:b/>
          <w:color w:val="475569"/>
          <w:sz w:val="22"/>
        </w:rPr>
        <w:t>Biểu đồ nghiệp vụ (Sequence Diagram) cho UC005:</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sequenceDiagram</w:t>
              <w:br/>
              <w:t xml:space="preserve">    autonumber</w:t>
              <w:br/>
              <w:t xml:space="preserve">    actor Doctor as Bác sĩ</w:t>
              <w:br/>
              <w:t xml:space="preserve">    participant UI as Bàn khám EMR</w:t>
              <w:br/>
              <w:t xml:space="preserve">    participant API as Prescription API</w:t>
              <w:br/>
              <w:t xml:space="preserve">    participant Checker as AllergyChecker</w:t>
              <w:br/>
              <w:t xml:space="preserve">    participant DB as CSDL MySQL</w:t>
              <w:br/>
              <w:br/>
              <w:t xml:space="preserve">    Doctor-&gt;&gt;UI: Thêm thuốc (Paracetamol 500mg, SL: 20 viên)</w:t>
              <w:br/>
              <w:t xml:space="preserve">    UI-&gt;&gt;API: POST /api/v1/prescriptions/check-item</w:t>
              <w:br/>
              <w:t xml:space="preserve">    API-&gt;&gt;Checker: check_allergy(patient_id=104, medicine="Paracetamol")</w:t>
              <w:br/>
              <w:t xml:space="preserve">    Checker-&gt;&gt;DB: Query patient.drug_allergies</w:t>
              <w:br/>
              <w:t xml:space="preserve">    DB--&gt;&gt;Checker: drug_allergies = "Aspirin, Penicillin"</w:t>
              <w:br/>
              <w:t xml:space="preserve">    Checker--&gt;&gt;API: Safe: Không trùng hoạt chất dị ứng</w:t>
              <w:br/>
              <w:t xml:space="preserve">    API--&gt;&gt;UI: 200 OK (Thuốc an toàn)</w:t>
              <w:br/>
              <w:t xml:space="preserve">    Doctor-&gt;&gt;UI: Bấm "Lưu và Ký đơn thuốc"</w:t>
              <w:br/>
              <w:t xml:space="preserve">    UI-&gt;&gt;API: POST /api/v1/prescriptions/</w:t>
              <w:br/>
              <w:t xml:space="preserve">    API-&gt;&gt;DB: INSERT INTO prescriptions &amp; prescription_items</w:t>
              <w:br/>
              <w:t xml:space="preserve">    DB--&gt;&gt;API: prescription_id = 88</w:t>
              <w:br/>
              <w:t xml:space="preserve">    API--&gt;&gt;UI: Hoàn thành đơn thuốc thành công</w:t>
            </w:r>
          </w:p>
        </w:tc>
      </w:tr>
    </w:tbl>
    <w:p>
      <w:pPr>
        <w:spacing w:after="80"/>
      </w:pPr>
    </w:p>
    <w:p>
      <w:pPr>
        <w:pStyle w:val="Heading2"/>
        <w:spacing w:before="200" w:after="60"/>
      </w:pPr>
      <w:r>
        <w:rPr>
          <w:rFonts w:ascii="Times New Roman" w:hAnsi="Times New Roman"/>
          <w:b/>
          <w:color w:val="0F172A"/>
          <w:sz w:val="24"/>
        </w:rPr>
        <w:t>3.6. Đặc tả Use Case UC006: Thanh toán viện phí và Sinh mã VietQR động</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880"/>
        <w:gridCol w:w="6480"/>
      </w:tblGrid>
      <w:tr>
        <w:tc>
          <w:tcPr>
            <w:tcW w:type="dxa" w:w="9028"/>
            <w:gridSpan w:val="2"/>
            <w:shd w:fill="1E293B"/>
            <w:tcMar>
              <w:top w:w="90" w:type="dxa"/>
              <w:bottom w:w="90" w:type="dxa"/>
              <w:left w:w="130" w:type="dxa"/>
              <w:right w:w="130" w:type="dxa"/>
            </w:tcMar>
            <w:vAlign w:val="center"/>
            <w:shd w:fill="1E293B"/>
            <w:tcMar>
              <w:top w:w="90" w:type="dxa"/>
              <w:bottom w:w="90" w:type="dxa"/>
              <w:left w:w="130" w:type="dxa"/>
              <w:right w:w="130" w:type="dxa"/>
            </w:tcMar>
          </w:tcPr>
          <w:p>
            <w:pPr>
              <w:spacing w:before="40" w:after="40" w:line="276" w:lineRule="auto"/>
            </w:pPr>
            <w:r>
              <w:rPr>
                <w:rFonts w:ascii="Times New Roman" w:hAnsi="Times New Roman"/>
                <w:b/>
                <w:color w:val="FFFFFF"/>
                <w:sz w:val="20"/>
              </w:rPr>
              <w:t>Use case: UC006_Thanh toán viện phí và Sinh mã VietQR động</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Mục đích:</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Tính toán viện phí chính xác, áp dụng giảm trừ BHYT và hỗ trợ người bệnh thanh toán chuyển khoản nhanh qua VietQR.</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Mô tả:</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Kế toán tổng hợp viện phí, hệ thống tính toán phần BHYT chi trả và tạo mã VietQR chuẩn NAPAS chứa chính xác số tiền cần thu.</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Tác nhân tác động:</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Kế toán</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trước:</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Hồ sơ khám bệnh và đơn thuốc đã được bác sĩ hoàn thành và chuyển sang phân hệ kế toán.</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sau:</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Hóa đơn chuyển trạng thái 'paid', biên lai thu tiền được in ra và lưu vết nhật ký tài chính.</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chính (Basic flows):</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 Kế toán mở danh sách hồ sơ chờ thu phí và chọn hồ sơ của bệnh nhân.</w:t>
              <w:br/>
              <w:t>2. Hệ thống tổng hợp chi phí tiền khám, xét nghiệm và danh mục thuốc trong đơn.</w:t>
              <w:br/>
              <w:t>3. Hệ thống kiểm tra mã thẻ BHYT và áp dụng tỷ lệ chi trả (80% hoặc 100%), tính số tiền người bệnh phải thanh toán.</w:t>
              <w:br/>
              <w:t>4. Kế toán chọn phương thức 'Chuyển khoản VietQR'.</w:t>
              <w:br/>
              <w:t>5. Hệ thống sinh mã VietQR động chứa số tiền, mã hóa đơn và số tài khoản phòng khám.</w:t>
              <w:br/>
              <w:t>6. Người bệnh quét mã QR bằng ứng dụng ngân hàng và hoàn tất chuyển tiền.</w:t>
              <w:br/>
              <w:t>7. Kế toán bấm 'Xác nhận thanh toán' và in hóa đơn viện phí bàn giao cho người bệnh.</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phụ (Alternative flows):</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4a. Người bệnh thanh toán tiền mặt: Kế toán chọn 'Tiền mặt', nhập số tiền nhận, hệ thống tính tiền thừa thối lại.</w:t>
              <w:br/>
              <w:t>3a. Bệnh nhân không có BHYT: Tỷ lệ chi trả BHYT tính bằng 0%, người bệnh thanh toán toàn bộ 100% viện phí.</w:t>
            </w:r>
          </w:p>
        </w:tc>
      </w:tr>
    </w:tbl>
    <w:p>
      <w:pPr>
        <w:spacing w:after="80"/>
      </w:pPr>
    </w:p>
    <w:p>
      <w:pPr>
        <w:pStyle w:val="Heading3"/>
        <w:spacing w:before="120" w:after="40"/>
      </w:pPr>
      <w:r>
        <w:rPr>
          <w:rFonts w:ascii="Times New Roman" w:hAnsi="Times New Roman"/>
          <w:b/>
          <w:color w:val="475569"/>
          <w:sz w:val="22"/>
        </w:rPr>
        <w:t>Biểu đồ nghiệp vụ (Sequence Diagram) cho UC006:</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sequenceDiagram</w:t>
              <w:br/>
              <w:t xml:space="preserve">    autonumber</w:t>
              <w:br/>
              <w:t xml:space="preserve">    actor Accountant as Kế toán</w:t>
              <w:br/>
              <w:t xml:space="preserve">    participant UI as Giao diện Kế toán</w:t>
              <w:br/>
              <w:t xml:space="preserve">    participant API as Billing API</w:t>
              <w:br/>
              <w:t xml:space="preserve">    participant QR as VietQR Service</w:t>
              <w:br/>
              <w:t xml:space="preserve">    participant DB as CSDL MySQL</w:t>
              <w:br/>
              <w:br/>
              <w:t xml:space="preserve">    Accountant-&gt;&gt;UI: Chọn hồ sơ bệnh nhân cần thanh toán</w:t>
              <w:br/>
              <w:t xml:space="preserve">    UI-&gt;&gt;API: GET /api/v1/invoices/preview/{record_id}</w:t>
              <w:br/>
              <w:t xml:space="preserve">    API-&gt;&gt;DB: Lấy tiền khám, tiền thuốc, thông tin BHYT</w:t>
              <w:br/>
              <w:t xml:space="preserve">    DB--&gt;&gt;API: Dữ liệu viện phí</w:t>
              <w:br/>
              <w:t xml:space="preserve">    API--&gt;&gt;UI: Hiển thị bảng kê (Tổng tiền, Giảm trừ BHYT, Cần thu)</w:t>
              <w:br/>
              <w:t xml:space="preserve">    Accountant-&gt;&gt;UI: Chọn phương thức "VietQR"</w:t>
              <w:br/>
              <w:t xml:space="preserve">    UI-&gt;&gt;API: POST /api/v1/invoices/generate-vietqr</w:t>
              <w:br/>
              <w:t xml:space="preserve">    API-&gt;&gt;QR: Tạo payload chuẩn NAPAS (Số tiền, Mã HĐ)</w:t>
              <w:br/>
              <w:t xml:space="preserve">    QR--&gt;&gt;API: Chuỗi URL ảnh VietQR</w:t>
              <w:br/>
              <w:t xml:space="preserve">    API--&gt;&gt;UI: Hiển thị mã QR động trên màn hình</w:t>
              <w:br/>
              <w:t xml:space="preserve">    Accountant-&gt;&gt;UI: Xác nhận đã nhận tiền -&gt; Nhấn "Hoàn thành"</w:t>
              <w:br/>
              <w:t xml:space="preserve">    UI-&gt;&gt;API: POST /api/v1/invoices/{id}/pay</w:t>
              <w:br/>
              <w:t xml:space="preserve">    API-&gt;&gt;DB: UPDATE invoices SET status='paid', paid_at=NOW()</w:t>
              <w:br/>
              <w:t xml:space="preserve">    DB--&gt;&gt;API: Cập nhật thành công</w:t>
              <w:br/>
              <w:t xml:space="preserve">    API--&gt;&gt;UI: 200 OK -&gt; Mở cửa sổ in biên lai</w:t>
            </w:r>
          </w:p>
        </w:tc>
      </w:tr>
    </w:tbl>
    <w:p>
      <w:pPr>
        <w:spacing w:after="80"/>
      </w:pPr>
    </w:p>
    <w:p>
      <w:pPr>
        <w:pStyle w:val="Heading2"/>
        <w:spacing w:before="200" w:after="60"/>
      </w:pPr>
      <w:r>
        <w:rPr>
          <w:rFonts w:ascii="Times New Roman" w:hAnsi="Times New Roman"/>
          <w:b/>
          <w:color w:val="0F172A"/>
          <w:sz w:val="24"/>
        </w:rPr>
        <w:t>3.7. Đặc tả Use Case UC007: AI Tóm tắt hồ sơ tiền sử bệnh án (Pre-visit Briefing)</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880"/>
        <w:gridCol w:w="6480"/>
      </w:tblGrid>
      <w:tr>
        <w:tc>
          <w:tcPr>
            <w:tcW w:type="dxa" w:w="9028"/>
            <w:gridSpan w:val="2"/>
            <w:shd w:fill="1E293B"/>
            <w:tcMar>
              <w:top w:w="90" w:type="dxa"/>
              <w:bottom w:w="90" w:type="dxa"/>
              <w:left w:w="130" w:type="dxa"/>
              <w:right w:w="130" w:type="dxa"/>
            </w:tcMar>
            <w:vAlign w:val="center"/>
            <w:shd w:fill="1E293B"/>
            <w:tcMar>
              <w:top w:w="90" w:type="dxa"/>
              <w:bottom w:w="90" w:type="dxa"/>
              <w:left w:w="130" w:type="dxa"/>
              <w:right w:w="130" w:type="dxa"/>
            </w:tcMar>
          </w:tcPr>
          <w:p>
            <w:pPr>
              <w:spacing w:before="40" w:after="40" w:line="276" w:lineRule="auto"/>
            </w:pPr>
            <w:r>
              <w:rPr>
                <w:rFonts w:ascii="Times New Roman" w:hAnsi="Times New Roman"/>
                <w:b/>
                <w:color w:val="FFFFFF"/>
                <w:sz w:val="20"/>
              </w:rPr>
              <w:t>Use case: UC007_AI Tóm tắt hồ sơ tiền sử bệnh án (Pre-visit Briefing)</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Mục đích:</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Hỗ trợ bác sĩ nắm bắt diễn tiến bệnh và tiền sử dị ứng của người bệnh trong thời gian dưới 15 giây trước khi bắt đầu khám.</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Mô tả:</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Trích xuất lịch sử khám cũ, lọc bỏ toàn bộ thông tin định danh nhạy cảm PII, gọi mô hình AI sinh bản tóm tắt súc tích.</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Tác nhân tác động:</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trước:</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 đang mở bệnh án của người bệnh có lịch sử khám trước đó; Trợ lý AI đang hoạt động.</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sau:</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Bản tóm tắt bệnh sử hiển thị trên thẻ AI Pre-visit Card với đầy đủ nhãn cảnh báo miễn trừ y tế.</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chính (Basic flows):</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 Bác sĩ bấm nút 'Xem tóm tắt AI' trên giao diện bàn khám EMR.</w:t>
              <w:br/>
              <w:t>2. Backend truy xuất các hồ sơ khám cũ, đơn thuốc cũ và kết quả sinh hiệu của bệnh nhân.</w:t>
              <w:br/>
              <w:t>3. Module PIIAnonymizer che giấu họ tên, số điện thoại, số CCCD thành các nhãn an toàn.</w:t>
              <w:br/>
              <w:t>4. MedicalGuardrails kiểm tra tính an toàn của prompt trước khi gọi AI.</w:t>
              <w:br/>
              <w:t>5. AIService gửi prompt đã khử định danh sang Google Gemini Live API.</w:t>
              <w:br/>
              <w:t>6. Mô hình AI trả về bản tóm tắt gồm: Tiền sử bệnh, Dị ứng thuốc, Thuốc đang dùng, Diễn tiến lần khám gần nhất.</w:t>
              <w:br/>
              <w:t>7. Hệ thống gắn nhãn Disclaimer y tế và hiển thị kết quả cho bác sĩ xem.</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phụ (Alternative flows):</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2a. Người bệnh khám lần đầu (chưa có lịch sử cũ): Hệ thống thông báo 'Bệnh nhân khám lần đầu, chưa có dữ liệu tiền sử để tóm tắt'.</w:t>
              <w:br/>
              <w:t>5a. Mất kết nối Internet: Hệ thống tự động chuyển sang MockFallbackProvider sinh tóm tắt quy tắc cục bộ.</w:t>
            </w:r>
          </w:p>
        </w:tc>
      </w:tr>
    </w:tbl>
    <w:p>
      <w:pPr>
        <w:spacing w:after="80"/>
      </w:pPr>
    </w:p>
    <w:p>
      <w:pPr>
        <w:pStyle w:val="Heading3"/>
        <w:spacing w:before="120" w:after="40"/>
      </w:pPr>
      <w:r>
        <w:rPr>
          <w:rFonts w:ascii="Times New Roman" w:hAnsi="Times New Roman"/>
          <w:b/>
          <w:color w:val="475569"/>
          <w:sz w:val="22"/>
        </w:rPr>
        <w:t>Biểu đồ nghiệp vụ (Sequence Diagram) cho UC007:</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sequenceDiagram</w:t>
              <w:br/>
              <w:t xml:space="preserve">    autonumber</w:t>
              <w:br/>
              <w:t xml:space="preserve">    actor Doctor as Bác sĩ</w:t>
              <w:br/>
              <w:t xml:space="preserve">    participant UI as Bàn khám EMR</w:t>
              <w:br/>
              <w:t xml:space="preserve">    participant API as AI Engine API</w:t>
              <w:br/>
              <w:t xml:space="preserve">    participant PII as PII Sanitizer</w:t>
              <w:br/>
              <w:t xml:space="preserve">    participant AI as Google Gemini Live</w:t>
              <w:br/>
              <w:t xml:space="preserve">    participant DB as CSDL MySQL</w:t>
              <w:br/>
              <w:br/>
              <w:t xml:space="preserve">    Doctor-&gt;&gt;UI: Nhấn "Xem tóm tắt AI"</w:t>
              <w:br/>
              <w:t xml:space="preserve">    UI-&gt;&gt;API: POST /api/v1/ai/pre-visit-summary (patient_id)</w:t>
              <w:br/>
              <w:t xml:space="preserve">    API-&gt;&gt;DB: Lấy lịch sử 3 lần khám gần nhất</w:t>
              <w:br/>
              <w:t xml:space="preserve">    DB--&gt;&gt;API: Dữ liệu hồ sơ bệnh án</w:t>
              <w:br/>
              <w:t xml:space="preserve">    API-&gt;&gt;PII: sanitize(medical_history)</w:t>
              <w:br/>
              <w:t xml:space="preserve">    PII--&gt;&gt;API: Dữ liệu đã khử CCCD, SĐT, Tên ([ID_REDACTED])</w:t>
              <w:br/>
              <w:t xml:space="preserve">    API-&gt;&gt;AI: generate_summary(sanitized_text, prompt_template)</w:t>
              <w:br/>
              <w:t xml:space="preserve">    AI--&gt;&gt;API: Chuỗi tóm tắt tiền sử bệnh học</w:t>
              <w:br/>
              <w:t xml:space="preserve">    API-&gt;&gt;API: Thêm cảnh báo miễn trừ trách nhiệm y tế</w:t>
              <w:br/>
              <w:t xml:space="preserve">    API-&gt;&gt;DB: Ghi log gọi AI (AuditLog, latency_ms)</w:t>
              <w:br/>
              <w:t xml:space="preserve">    API--&gt;&gt;UI: 200 OK (Bản tóm tắt an toàn)</w:t>
              <w:br/>
              <w:t xml:space="preserve">    UI--&gt;&gt;Doctor: Hiển thị thẻ tóm tắt Pre-visit Card</w:t>
            </w:r>
          </w:p>
        </w:tc>
      </w:tr>
    </w:tbl>
    <w:p>
      <w:pPr>
        <w:spacing w:after="80"/>
      </w:pPr>
    </w:p>
    <w:p>
      <w:pPr>
        <w:pStyle w:val="Heading2"/>
        <w:spacing w:before="200" w:after="60"/>
      </w:pPr>
      <w:r>
        <w:rPr>
          <w:rFonts w:ascii="Times New Roman" w:hAnsi="Times New Roman"/>
          <w:b/>
          <w:color w:val="0F172A"/>
          <w:sz w:val="24"/>
        </w:rPr>
        <w:t>3.8. Đặc tả Use Case UC008: AI Chatbot hỏi đáp thủ tục FAQ và BHYT (RAG)</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880"/>
        <w:gridCol w:w="6480"/>
      </w:tblGrid>
      <w:tr>
        <w:tc>
          <w:tcPr>
            <w:tcW w:type="dxa" w:w="9028"/>
            <w:gridSpan w:val="2"/>
            <w:shd w:fill="1E293B"/>
            <w:tcMar>
              <w:top w:w="90" w:type="dxa"/>
              <w:bottom w:w="90" w:type="dxa"/>
              <w:left w:w="130" w:type="dxa"/>
              <w:right w:w="130" w:type="dxa"/>
            </w:tcMar>
            <w:vAlign w:val="center"/>
            <w:shd w:fill="1E293B"/>
            <w:tcMar>
              <w:top w:w="90" w:type="dxa"/>
              <w:bottom w:w="90" w:type="dxa"/>
              <w:left w:w="130" w:type="dxa"/>
              <w:right w:w="130" w:type="dxa"/>
            </w:tcMar>
          </w:tcPr>
          <w:p>
            <w:pPr>
              <w:spacing w:before="40" w:after="40" w:line="276" w:lineRule="auto"/>
            </w:pPr>
            <w:r>
              <w:rPr>
                <w:rFonts w:ascii="Times New Roman" w:hAnsi="Times New Roman"/>
                <w:b/>
                <w:color w:val="FFFFFF"/>
                <w:sz w:val="20"/>
              </w:rPr>
              <w:t>Use case: UC008_AI Chatbot hỏi đáp thủ tục FAQ và BHYT (RAG)</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Mục đích:</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Giải đáp tự động các thắc mắc về thủ tục đăng ký, bảng giá dịch vụ và chính sách BHYT 24/7.</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Mô tả:</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bệnh hoặc nhân viên gửi câu hỏi. Hệ thống kiểm tra an toàn Guardrails, truy vấn kho tri thức RAG và gọi Gemini API để phản hồi chính xác kèm cảnh báo y tế.</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Tác nhân tác động:</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Lễ tân, Bệnh nhân, Quản trị viên</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trước:</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Hệ thống cơ sở tri thức phòng khám (FAQ Knowledge Base) đã được nạp dữ liệu.</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sau:</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Câu trả lời được hiển thị trong khung chat, không chứa nội dung chẩn đoán bệnh học.</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chính (Basic flows):</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 Người dùng mở hộp thoại Trợ lý ảo AI Chatbot trên giao diện web.</w:t>
              <w:br/>
              <w:t>2. Người dùng nhập câu hỏi (VD: 'Thủ tục khám BHYT cần mang theo giấy tờ gì?').</w:t>
              <w:br/>
              <w:t>3. Hệ thống gửi câu hỏi qua bộ kiểm tra MedicalGuardrails.is_medical_diagnosis_query().</w:t>
              <w:br/>
              <w:t>4. Hệ thống xác nhận câu hỏi thuộc phạm vi hành chính, kích hoạt cơ chế RAG tìm kiếm tài liệu liên quan.</w:t>
              <w:br/>
              <w:t>5. Ghép ngữ cảnh tri thức phòng khám vào prompt gửi đến Google Gemini API.</w:t>
              <w:br/>
              <w:t>6. Mô hình sinh câu trả lời súc tích, đầy đủ và đính kèm lời nhắc bảo mật.</w:t>
              <w:br/>
              <w:t>7. Hệ thống hiển thị câu trả lời trên khung chat trong thời gian dưới 2 giây.</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phụ (Alternative flows):</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3a. Người dùng hỏi câu hỏi chẩn đoán hoặc kê đơn bệnh tật (VD: 'Tôi bị đau ngực khó thở uống thuốc gì?'): Guardrails lập tức chặn lại và trả về thông báo an toàn: 'Trợ lý AI chỉ giải đáp thủ tục hành chính, không có chức năng khám bệnh. Vui lòng đến ngay phòng khám hoặc bệnh viện gần nhất để được bác sĩ tư vấn'.</w:t>
            </w:r>
          </w:p>
        </w:tc>
      </w:tr>
    </w:tbl>
    <w:p>
      <w:pPr>
        <w:spacing w:after="80"/>
      </w:pPr>
    </w:p>
    <w:p>
      <w:pPr>
        <w:pStyle w:val="Heading3"/>
        <w:spacing w:before="120" w:after="40"/>
      </w:pPr>
      <w:r>
        <w:rPr>
          <w:rFonts w:ascii="Times New Roman" w:hAnsi="Times New Roman"/>
          <w:b/>
          <w:color w:val="475569"/>
          <w:sz w:val="22"/>
        </w:rPr>
        <w:t>Biểu đồ nghiệp vụ (Sequence Diagram) cho UC008:</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sequenceDiagram</w:t>
              <w:br/>
              <w:t xml:space="preserve">    autonumber</w:t>
              <w:br/>
              <w:t xml:space="preserve">    actor User as Bệnh nhân / Lễ tân</w:t>
              <w:br/>
              <w:t xml:space="preserve">    participant Chat as Widget Chatbot</w:t>
              <w:br/>
              <w:t xml:space="preserve">    participant API as Chatbot API (/api/v1/ai/chat)</w:t>
              <w:br/>
              <w:t xml:space="preserve">    participant Guard as MedicalGuardrails</w:t>
              <w:br/>
              <w:t xml:space="preserve">    participant RAG as KnowledgeBase (FAQ)</w:t>
              <w:br/>
              <w:t xml:space="preserve">    participant AI as Google Gemini Live</w:t>
              <w:br/>
              <w:br/>
              <w:t xml:space="preserve">    User-&gt;&gt;Chat: Gửi câu hỏi thủ tục khám BHYT</w:t>
              <w:br/>
              <w:t xml:space="preserve">    Chat-&gt;&gt;API: POST /api/v1/ai/chat {message: "..."}</w:t>
              <w:br/>
              <w:t xml:space="preserve">    API-&gt;&gt;Guard: is_medical_diagnosis_query(message)</w:t>
              <w:br/>
              <w:t xml:space="preserve">    Guard--&gt;&gt;API: False (Câu hỏi hành chính an toàn)</w:t>
              <w:br/>
              <w:t xml:space="preserve">    API-&gt;&gt;RAG: search_knowledge(query="thủ tục BHYT")</w:t>
              <w:br/>
              <w:t xml:space="preserve">    RAG--&gt;&gt;API: Trả về điều khoản quy định thẻ BHYT</w:t>
              <w:br/>
              <w:t xml:space="preserve">    API-&gt;&gt;AI: Gửi Prompt (Context FAQ + Question)</w:t>
              <w:br/>
              <w:t xml:space="preserve">    AI--&gt;&gt;API: Trả về câu trả lời đã biên tập</w:t>
              <w:br/>
              <w:t xml:space="preserve">    API--&gt;&gt;Chat: 200 OK {response: "...", disclaimer: "..."}</w:t>
              <w:br/>
              <w:t xml:space="preserve">    Chat--&gt;&gt;User: Hiển thị phản hồi thân thiện và chính xác</w:t>
            </w:r>
          </w:p>
        </w:tc>
      </w:tr>
    </w:tbl>
    <w:p>
      <w:pPr>
        <w:spacing w:after="80"/>
      </w:pPr>
    </w:p>
    <w:p>
      <w:pPr>
        <w:pStyle w:val="Heading2"/>
        <w:spacing w:before="200" w:after="60"/>
      </w:pPr>
      <w:r>
        <w:rPr>
          <w:rFonts w:ascii="Times New Roman" w:hAnsi="Times New Roman"/>
          <w:b/>
          <w:color w:val="0F172A"/>
          <w:sz w:val="24"/>
        </w:rPr>
        <w:t>3.9. Đặc tả Use Case UC009: AI Sinh hướng dẫn dặn dò sau khám (Discharge Instructions)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880"/>
        <w:gridCol w:w="6480"/>
      </w:tblGrid>
      <w:tr>
        <w:tc>
          <w:tcPr>
            <w:tcW w:type="dxa" w:w="9028"/>
            <w:gridSpan w:val="2"/>
            <w:shd w:fill="1E293B"/>
            <w:tcMar>
              <w:top w:w="90" w:type="dxa"/>
              <w:bottom w:w="90" w:type="dxa"/>
              <w:left w:w="130" w:type="dxa"/>
              <w:right w:w="130" w:type="dxa"/>
            </w:tcMar>
            <w:vAlign w:val="center"/>
            <w:shd w:fill="1E293B"/>
            <w:tcMar>
              <w:top w:w="90" w:type="dxa"/>
              <w:bottom w:w="90" w:type="dxa"/>
              <w:left w:w="130" w:type="dxa"/>
              <w:right w:w="130" w:type="dxa"/>
            </w:tcMar>
          </w:tcPr>
          <w:p>
            <w:pPr>
              <w:spacing w:before="40" w:after="40" w:line="276" w:lineRule="auto"/>
            </w:pPr>
            <w:r>
              <w:rPr>
                <w:rFonts w:ascii="Times New Roman" w:hAnsi="Times New Roman"/>
                <w:b/>
                <w:color w:val="FFFFFF"/>
                <w:sz w:val="20"/>
              </w:rPr>
              <w:t>Use case: UC009_AI Sinh hướng dẫn dặn dò sau khám (Discharge Instructions)</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Mục đích:</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Tự động tổng hợp và sinh bảng dặn dò sinh hoạt, lịch uống thuốc và dấu hiệu cấp cứu sau khi khám.</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Mô tả:</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Trích xuất chẩn đoán và đơn thuốc đã kê, sinh bản hướng dẫn cá nhân hóa phân chia lịch uống thuốc (Sáng - Trưa - Chiều - Tối) và chế độ ăn kiêng cho bệnh nhân.</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Tác nhân tác động:</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Bác sĩ</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trước:</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Hồ sơ bệnh án EMR và đơn thuốc của bệnh nhân đã hoàn thành.</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sau:</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Tờ hướng dẫn sau khám trực quan được tạo ra, cho phép bác sĩ chỉnh sửa trước khi in phát cho người bệnh.</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chính (Basic flows):</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 Bác sĩ nhấn nút 'Tạo dặn dò sau khám AI' trên màn hình hoàn tất bệnh án.</w:t>
              <w:br/>
              <w:t>2. Hệ thống tổng hợp mã chẩn đoán ICD-10 và danh mục các loại thuốc vừa kê.</w:t>
              <w:br/>
              <w:t>3. Module AI sinh văn bản hướng dẫn gồm: Bảng lịch uống thuốc, Chế độ ăn uống sinh hoạt kiêng cữ, và Dấu hiệu cảnh báo nguy hiểm cần tái khám khẩn cấp.</w:t>
              <w:br/>
              <w:t>4. Bản thảo hiển thị trong cửa sổ biên tập để bác sĩ xem lại.</w:t>
              <w:br/>
              <w:t>5. Bác sĩ duyệt và nhấn 'In tờ dặn dò kèm đơn thuốc'.</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phụ (Alternative flows):</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3a. Mất kết nối API bên ngoài: Hệ thống tự động kích hoạt bộ mẫu dặn dò chuẩn theo từng nhóm bệnh ICD-10 có sẵn trong cơ sở dữ liệu nội bộ.</w:t>
            </w:r>
          </w:p>
        </w:tc>
      </w:tr>
    </w:tbl>
    <w:p>
      <w:pPr>
        <w:spacing w:after="80"/>
      </w:pPr>
    </w:p>
    <w:p>
      <w:pPr>
        <w:pStyle w:val="Heading3"/>
        <w:spacing w:before="120" w:after="40"/>
      </w:pPr>
      <w:r>
        <w:rPr>
          <w:rFonts w:ascii="Times New Roman" w:hAnsi="Times New Roman"/>
          <w:b/>
          <w:color w:val="475569"/>
          <w:sz w:val="22"/>
        </w:rPr>
        <w:t>Biểu đồ nghiệp vụ (Activity Diagram) cho UC009:</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flowchart TD</w:t>
              <w:br/>
              <w:t xml:space="preserve">    Start([Hoàn thành khám và kê đơn]) --&gt; ReqGen[Bác sĩ bấm 'Sinh dặn dò sau khám AI']</w:t>
              <w:br/>
              <w:t xml:space="preserve">    ReqGen --&gt; ExtractData[Trích xuất chẩn đoán và đơn thuốc]</w:t>
              <w:br/>
              <w:t xml:space="preserve">    ExtractData --&gt; CallAI[Gọi AI phân chia lịch uống và chế độ ăn]</w:t>
              <w:br/>
              <w:t xml:space="preserve">    CallAI --&gt; ReviewDraft[Hiển thị bản thảo cho bác sĩ duyệt]</w:t>
              <w:br/>
              <w:t xml:space="preserve">    ReviewDraft --&gt; NeedEdit{Bác sĩ cần sửa đổi?}</w:t>
              <w:br/>
              <w:t xml:space="preserve">    NeedEdit -- Có --&gt; EditContent[Bác sĩ chỉnh sửa văn bản]</w:t>
              <w:br/>
              <w:t xml:space="preserve">    EditContent --&gt; Approve[Xác nhận bản hoàn chỉnh]</w:t>
              <w:br/>
              <w:t xml:space="preserve">    NeedEdit -- Không --&gt; Approve</w:t>
              <w:br/>
              <w:t xml:space="preserve">    Approve --&gt; PrintDoc[In phiếu dặn dò bàn giao bệnh nhân]</w:t>
              <w:br/>
              <w:t xml:space="preserve">    PrintDoc --&gt; End([Hoàn tất quy trình sau khám])</w:t>
            </w:r>
          </w:p>
        </w:tc>
      </w:tr>
    </w:tbl>
    <w:p>
      <w:pPr>
        <w:spacing w:after="80"/>
      </w:pPr>
    </w:p>
    <w:p>
      <w:pPr>
        <w:pStyle w:val="Heading2"/>
        <w:spacing w:before="200" w:after="60"/>
      </w:pPr>
      <w:r>
        <w:rPr>
          <w:rFonts w:ascii="Times New Roman" w:hAnsi="Times New Roman"/>
          <w:b/>
          <w:color w:val="0F172A"/>
          <w:sz w:val="24"/>
        </w:rPr>
        <w:t>3.10. Đặc tả Use Case UC010: Phân ca làm việc bác sĩ và Khóa khung giờ trực</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880"/>
        <w:gridCol w:w="6480"/>
      </w:tblGrid>
      <w:tr>
        <w:tc>
          <w:tcPr>
            <w:tcW w:type="dxa" w:w="9028"/>
            <w:gridSpan w:val="2"/>
            <w:shd w:fill="1E293B"/>
            <w:tcMar>
              <w:top w:w="90" w:type="dxa"/>
              <w:bottom w:w="90" w:type="dxa"/>
              <w:left w:w="130" w:type="dxa"/>
              <w:right w:w="130" w:type="dxa"/>
            </w:tcMar>
            <w:vAlign w:val="center"/>
            <w:shd w:fill="1E293B"/>
            <w:tcMar>
              <w:top w:w="90" w:type="dxa"/>
              <w:bottom w:w="90" w:type="dxa"/>
              <w:left w:w="130" w:type="dxa"/>
              <w:right w:w="130" w:type="dxa"/>
            </w:tcMar>
          </w:tcPr>
          <w:p>
            <w:pPr>
              <w:spacing w:before="40" w:after="40" w:line="276" w:lineRule="auto"/>
            </w:pPr>
            <w:r>
              <w:rPr>
                <w:rFonts w:ascii="Times New Roman" w:hAnsi="Times New Roman"/>
                <w:b/>
                <w:color w:val="FFFFFF"/>
                <w:sz w:val="20"/>
              </w:rPr>
              <w:t>Use case: UC010_Phân ca làm việc bác sĩ và Khóa khung giờ trực</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Mục đích:</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lý và thiết lập lịch làm việc hàng tuần cho bác sĩ theo phòng khám, bảo đảm dữ liệu đầu vào cho bộ kiểm tra xung đột.</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Mô tả:</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trị viên tạo lịch trực theo ca (Sáng: 08:00 - 12:00, Chiều: 13:30 - 17:30) cho từng bác sĩ tại buồng khám chỉ định.</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Tác nhân tác động:</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trị viên</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trước:</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trị viên đã đăng nhập thành công với vai trò Admin; Danh sách bác sĩ và phòng khám đã có trong hệ thống.</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sau:</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Bản ghi ca trực (DoctorShift) được lưu trữ, hệ thống tự động khóa không cho đặt lịch ngoài khung giờ này.</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chính (Basic flows):</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 Quản trị viên vào phân hệ 'Quản trị ca trực bác sĩ'.</w:t>
              <w:br/>
              <w:t>2. Chọn bác sĩ, chọn phòng khám và chọn ngày làm việc trong tuần.</w:t>
              <w:br/>
              <w:t>3. Chọn ca làm việc (Ca sáng hoặc Ca chiều) và số lượng bệnh nhân tối đa tiếp nhận trong ca.</w:t>
              <w:br/>
              <w:t>4. Nhấn 'Lưu ca trực'.</w:t>
              <w:br/>
              <w:t>5. Hệ thống xác thực không có xung đột bác sĩ trực 2 phòng cùng lúc và cập nhật lịch làm việc.</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phụ (Alternative flows):</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5a. Bác sĩ đã được phân ca tại phòng khám khác cùng khung giờ: Hệ thống cảnh báo trùng ca trực và từ chối lưu.</w:t>
            </w:r>
          </w:p>
        </w:tc>
      </w:tr>
    </w:tbl>
    <w:p>
      <w:pPr>
        <w:spacing w:after="80"/>
      </w:pPr>
    </w:p>
    <w:p>
      <w:pPr>
        <w:pStyle w:val="Heading3"/>
        <w:spacing w:before="120" w:after="40"/>
      </w:pPr>
      <w:r>
        <w:rPr>
          <w:rFonts w:ascii="Times New Roman" w:hAnsi="Times New Roman"/>
          <w:b/>
          <w:color w:val="475569"/>
          <w:sz w:val="22"/>
        </w:rPr>
        <w:t>Biểu đồ nghiệp vụ (Activity Diagram) cho UC010:</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flowchart TD</w:t>
              <w:br/>
              <w:t xml:space="preserve">    Start([Bắt đầu xếp ca]) --&gt; SelectDoc[Chọn bác sĩ và phòng khám]</w:t>
              <w:br/>
              <w:t xml:space="preserve">    SelectDoc --&gt; SelectDate[Chọn ngày và khung giờ trực]</w:t>
              <w:br/>
              <w:t xml:space="preserve">    SelectDate --&gt; CheckConflict{Kiểm tra trùng ca trực bác sĩ?}</w:t>
              <w:br/>
              <w:t xml:space="preserve">    CheckConflict -- Trùng lịch --&gt; WarnErr[Báo lỗi trùng ca trực cùng giờ]</w:t>
              <w:br/>
              <w:t xml:space="preserve">    WarnErr --&gt; SelectDate</w:t>
              <w:br/>
              <w:t xml:space="preserve">    CheckConflict -- Hợp lệ --&gt; SaveShift[Lưu ca trực vào CSDL]</w:t>
              <w:br/>
              <w:t xml:space="preserve">    SaveShift --&gt; UpdateCalendar[Cập nhật bảng lịch làm việc tuần]</w:t>
              <w:br/>
              <w:t xml:space="preserve">    UpdateCalendar --&gt; End([Hoàn tất xếp ca])</w:t>
            </w:r>
          </w:p>
        </w:tc>
      </w:tr>
    </w:tbl>
    <w:p>
      <w:pPr>
        <w:spacing w:after="80"/>
      </w:pPr>
    </w:p>
    <w:p>
      <w:pPr>
        <w:pStyle w:val="Heading2"/>
        <w:spacing w:before="200" w:after="60"/>
      </w:pPr>
      <w:r>
        <w:rPr>
          <w:rFonts w:ascii="Times New Roman" w:hAnsi="Times New Roman"/>
          <w:b/>
          <w:color w:val="0F172A"/>
          <w:sz w:val="24"/>
        </w:rPr>
        <w:t>3.11. Đặc tả Use Case UC011: Quản trị danh mục dược phẩm và Tồn kho thuốc</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880"/>
        <w:gridCol w:w="6480"/>
      </w:tblGrid>
      <w:tr>
        <w:tc>
          <w:tcPr>
            <w:tcW w:type="dxa" w:w="9028"/>
            <w:gridSpan w:val="2"/>
            <w:shd w:fill="1E293B"/>
            <w:tcMar>
              <w:top w:w="90" w:type="dxa"/>
              <w:bottom w:w="90" w:type="dxa"/>
              <w:left w:w="130" w:type="dxa"/>
              <w:right w:w="130" w:type="dxa"/>
            </w:tcMar>
            <w:vAlign w:val="center"/>
            <w:shd w:fill="1E293B"/>
            <w:tcMar>
              <w:top w:w="90" w:type="dxa"/>
              <w:bottom w:w="90" w:type="dxa"/>
              <w:left w:w="130" w:type="dxa"/>
              <w:right w:w="130" w:type="dxa"/>
            </w:tcMar>
          </w:tcPr>
          <w:p>
            <w:pPr>
              <w:spacing w:before="40" w:after="40" w:line="276" w:lineRule="auto"/>
            </w:pPr>
            <w:r>
              <w:rPr>
                <w:rFonts w:ascii="Times New Roman" w:hAnsi="Times New Roman"/>
                <w:b/>
                <w:color w:val="FFFFFF"/>
                <w:sz w:val="20"/>
              </w:rPr>
              <w:t>Use case: UC011_Quản trị danh mục dược phẩm và Tồn kho thuốc</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Mục đích:</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Theo dõi số lượng tồn kho, giá bán, hoạt chất và cảnh báo khi thuốc sắp hết hàng trong tủ thuốc phòng khám.</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Mô tả:</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trị viên hoặc Dược sĩ thêm mới thuốc, cập nhật giá bán, theo dõi lượng thuốc xuất theo đơn và nhập kho bổ sung.</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Tác nhân tác động:</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trị viên, Kế toán</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trước:</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Người dùng đăng nhập với quyền Admin hoặc Accountant.</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sau:</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Dữ liệu kho thuốc được cập nhật chính xác theo thời gian thực.</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chính (Basic flows):</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 Người dùng mở phân hệ 'Quản lý kho thuốc'.</w:t>
              <w:br/>
              <w:t>2. Xem danh sách tồn kho, lọc theo thuốc sắp hết hàng (tồn &lt; 10 đơn vị).</w:t>
              <w:br/>
              <w:t>3. Thêm mới thuốc: Nhập tên thuốc, hoạt chất, quy cách đóng gói, đơn giá và số lượng ban đầu.</w:t>
              <w:br/>
              <w:t>4. Nhấn 'Lưu danh mục'.</w:t>
              <w:br/>
              <w:t>5. Hệ thống cập nhật bảng dữ liệu thuốc cho toàn phòng khám.</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phụ (Alternative flows):</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3a. Tên thuốc đã tồn tại: Hệ thống hiển thị tùy chọn cập nhật số lượng nhập kho thay vì tạo mới.</w:t>
            </w:r>
          </w:p>
        </w:tc>
      </w:tr>
    </w:tbl>
    <w:p>
      <w:pPr>
        <w:spacing w:after="80"/>
      </w:pPr>
    </w:p>
    <w:p>
      <w:pPr>
        <w:pStyle w:val="Heading3"/>
        <w:spacing w:before="120" w:after="40"/>
      </w:pPr>
      <w:r>
        <w:rPr>
          <w:rFonts w:ascii="Times New Roman" w:hAnsi="Times New Roman"/>
          <w:b/>
          <w:color w:val="475569"/>
          <w:sz w:val="22"/>
        </w:rPr>
        <w:t>Biểu đồ nghiệp vụ (Activity Diagram) cho UC011:</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flowchart TD</w:t>
              <w:br/>
              <w:t xml:space="preserve">    Start([Mở quản lý kho]) --&gt; ViewStock[Xem danh sách tồn kho]</w:t>
              <w:br/>
              <w:t xml:space="preserve">    ViewStock --&gt; CheckLow{Thuốc tồn dưới ngưỡng tối thiểu?}</w:t>
              <w:br/>
              <w:t xml:space="preserve">    CheckLow -- Đúng --&gt; WarnLow[Hiển thị cảnh báo màu vàng cần nhập hàng]</w:t>
              <w:br/>
              <w:t xml:space="preserve">    CheckLow -- Không --&gt; Normal[Hiển thị số lượng bình thường]</w:t>
              <w:br/>
              <w:t xml:space="preserve">    Normal --&gt; UpdateAction[Nhập thêm thuốc hoặc sửa đơn giá]</w:t>
              <w:br/>
              <w:t xml:space="preserve">    WarnLow --&gt; UpdateAction</w:t>
              <w:br/>
              <w:t xml:space="preserve">    UpdateAction --&gt; SaveDB[Cập nhật CSDL kho dược]</w:t>
              <w:br/>
              <w:t xml:space="preserve">    SaveDB --&gt; End([Hoàn tất cập nhật tồn kho])</w:t>
            </w:r>
          </w:p>
        </w:tc>
      </w:tr>
    </w:tbl>
    <w:p>
      <w:pPr>
        <w:spacing w:after="80"/>
      </w:pPr>
    </w:p>
    <w:p>
      <w:pPr>
        <w:pStyle w:val="Heading2"/>
        <w:spacing w:before="200" w:after="60"/>
      </w:pPr>
      <w:r>
        <w:rPr>
          <w:rFonts w:ascii="Times New Roman" w:hAnsi="Times New Roman"/>
          <w:b/>
          <w:color w:val="0F172A"/>
          <w:sz w:val="24"/>
        </w:rPr>
        <w:t>3.12. Đặc tả Use Case UC012: Giám sát nhật ký kiểm toán hệ thống và AI Call Logs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880"/>
        <w:gridCol w:w="6480"/>
      </w:tblGrid>
      <w:tr>
        <w:tc>
          <w:tcPr>
            <w:tcW w:type="dxa" w:w="9028"/>
            <w:gridSpan w:val="2"/>
            <w:shd w:fill="1E293B"/>
            <w:tcMar>
              <w:top w:w="90" w:type="dxa"/>
              <w:bottom w:w="90" w:type="dxa"/>
              <w:left w:w="130" w:type="dxa"/>
              <w:right w:w="130" w:type="dxa"/>
            </w:tcMar>
            <w:vAlign w:val="center"/>
            <w:shd w:fill="1E293B"/>
            <w:tcMar>
              <w:top w:w="90" w:type="dxa"/>
              <w:bottom w:w="90" w:type="dxa"/>
              <w:left w:w="130" w:type="dxa"/>
              <w:right w:w="130" w:type="dxa"/>
            </w:tcMar>
          </w:tcPr>
          <w:p>
            <w:pPr>
              <w:spacing w:before="40" w:after="40" w:line="276" w:lineRule="auto"/>
            </w:pPr>
            <w:r>
              <w:rPr>
                <w:rFonts w:ascii="Times New Roman" w:hAnsi="Times New Roman"/>
                <w:b/>
                <w:color w:val="FFFFFF"/>
                <w:sz w:val="20"/>
              </w:rPr>
              <w:t>Use case: UC012_Giám sát nhật ký kiểm toán hệ thống và AI Call Logs</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Mục đích:</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Lưu vết và giám sát toàn bộ các thao tác nhạy cảm, đăng nhập và lượt gọi mô hình AI theo tiêu chuẩn Nghị định 13/2023/NĐ-CP.</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Mô tả:</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Hệ thống tự động ghi nhật ký AuditLog với địa chỉ IP, User ID, hành động và thời gian thực. Cung cấp màn hình theo dõi số lượng token và độ trễ gọi AI.</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Tác nhân tác động:</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trị viên</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trước:</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Quản trị viên đã đăng nhập với vai trò Admin.</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Điều kiện sau:</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Báo cáo kiểm toán bảo mật và hiệu năng AI được hiển thị đầy đủ, không cho phép xóa sửa log.</w:t>
            </w:r>
          </w:p>
        </w:tc>
      </w:tr>
      <w:tr>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chính (Basic flows):</w:t>
            </w:r>
          </w:p>
        </w:tc>
        <w:tc>
          <w:tcPr>
            <w:tcW w:type="dxa" w:w="4514"/>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 Quản trị viên truy cập mục 'Nhật ký kiểm toán an ninh'.</w:t>
              <w:br/>
              <w:t>2. Hệ thống hiển thị danh sách các sự kiện bảo mật: Đăng nhập thành công/thất bại, Thao tác sửa bệnh án, Xuất đơn thuốc.</w:t>
              <w:br/>
              <w:t>3. Quản trị viên chuyển sang tab 'Nhật ký AI': Xem độ trễ phản hồi (latency), số lượng token tiêu thụ, tỷ lệ thành công của mô hình.</w:t>
              <w:br/>
              <w:t>4. Quản trị viên lọc sự kiện theo ngày hoặc theo người dùng để kiểm tra bất thường.</w:t>
            </w:r>
          </w:p>
        </w:tc>
      </w:tr>
      <w:tr>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color w:val="0F172A"/>
                <w:sz w:val="19"/>
              </w:rPr>
              <w:t>Luồng sự kiện phụ (Alternative flows):</w:t>
            </w:r>
          </w:p>
        </w:tc>
        <w:tc>
          <w:tcPr>
            <w:tcW w:type="dxa" w:w="4514"/>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2a. Phát hiện nhiều lần đăng nhập thất bại liên tiếp từ một IP: Hệ thống đánh dấu cờ cảnh báo an ninh (Security Alert).</w:t>
            </w:r>
          </w:p>
        </w:tc>
      </w:tr>
    </w:tbl>
    <w:p>
      <w:pPr>
        <w:spacing w:after="80"/>
      </w:pPr>
    </w:p>
    <w:p>
      <w:pPr>
        <w:pStyle w:val="Heading3"/>
        <w:spacing w:before="120" w:after="40"/>
      </w:pPr>
      <w:r>
        <w:rPr>
          <w:rFonts w:ascii="Times New Roman" w:hAnsi="Times New Roman"/>
          <w:b/>
          <w:color w:val="475569"/>
          <w:sz w:val="22"/>
        </w:rPr>
        <w:t>Biểu đồ nghiệp vụ (Sequence Diagram) cho UC012:</w:t>
      </w:r>
    </w:p>
    <w:tbl>
      <w:tblPr>
        <w:tblW w:type="auto" w:w="0"/>
        <w:jc w:val="center"/>
        <w:tblLayout w:type="fixed"/>
        <w:tblLook w:firstColumn="1" w:firstRow="1" w:lastColumn="0" w:lastRow="0" w:noHBand="0" w:noVBand="1" w:val="04A0"/>
      </w:tblPr>
      <w:tblGrid>
        <w:gridCol w:w="9360"/>
      </w:tblGrid>
      <w:tr>
        <w:tc>
          <w:tcPr>
            <w:tcW w:type="dxa" w:w="9029"/>
            <w:shd w:fill="F1F5F9"/>
            <w:tcMar>
              <w:top w:w="100" w:type="dxa"/>
              <w:bottom w:w="100" w:type="dxa"/>
              <w:left w:w="140" w:type="dxa"/>
              <w:right w:w="140" w:type="dxa"/>
            </w:tcMar>
          </w:tcPr>
          <w:p>
            <w:pPr>
              <w:spacing w:before="40" w:after="40" w:line="264" w:lineRule="auto"/>
            </w:pPr>
            <w:r>
              <w:rPr>
                <w:rFonts w:ascii="Consolas" w:hAnsi="Consolas"/>
                <w:color w:val="0F172A"/>
                <w:sz w:val="17"/>
              </w:rPr>
              <w:t>sequenceDiagram</w:t>
              <w:br/>
              <w:t xml:space="preserve">    autonumber</w:t>
              <w:br/>
              <w:t xml:space="preserve">    actor Admin as Quản trị viên</w:t>
              <w:br/>
              <w:t xml:space="preserve">    participant UI as Màn hình Audit Logs</w:t>
              <w:br/>
              <w:t xml:space="preserve">    participant API as Audit API (/api/v1/audit)</w:t>
              <w:br/>
              <w:t xml:space="preserve">    participant DB as CSDL MySQL</w:t>
              <w:br/>
              <w:br/>
              <w:t xml:space="preserve">    Admin-&gt;&gt;UI: Mở tab Giám sát an ninh &amp; AI Logs</w:t>
              <w:br/>
              <w:t xml:space="preserve">    UI-&gt;&gt;API: GET /api/v1/audit/logs?limit=50</w:t>
              <w:br/>
              <w:t xml:space="preserve">    API-&gt;&gt;DB: Query bảng audit_logs sắp xếp giảm dần theo thời gian</w:t>
              <w:br/>
              <w:t xml:space="preserve">    DB--&gt;&gt;API: Trả về danh sách sự kiện (IP, user, action, latency)</w:t>
              <w:br/>
              <w:t xml:space="preserve">    API--&gt;&gt;UI: 200 OK (Dữ liệu nhật ký chuẩn)</w:t>
              <w:br/>
              <w:t xml:space="preserve">    UI--&gt;&gt;Admin: Hiển thị bảng kiểm toán và biểu đồ độ trễ AI</w:t>
            </w:r>
          </w:p>
        </w:tc>
      </w:tr>
    </w:tbl>
    <w:p>
      <w:pPr>
        <w:spacing w:after="80"/>
      </w:pPr>
    </w:p>
    <w:p>
      <w:pPr>
        <w:pStyle w:val="Heading1"/>
        <w:spacing w:before="280" w:after="80"/>
      </w:pPr>
      <w:r>
        <w:rPr>
          <w:rFonts w:ascii="Times New Roman" w:hAnsi="Times New Roman"/>
          <w:b/>
          <w:color w:val="0F172A"/>
          <w:sz w:val="27"/>
        </w:rPr>
        <w:t>4. CÁC THÔNG TIN HỖ TRỢ KHÁC</w:t>
      </w:r>
    </w:p>
    <w:p>
      <w:pPr>
        <w:pStyle w:val="Heading2"/>
        <w:spacing w:before="200" w:after="60"/>
      </w:pPr>
      <w:r>
        <w:rPr>
          <w:rFonts w:ascii="Times New Roman" w:hAnsi="Times New Roman"/>
          <w:b/>
          <w:color w:val="0F172A"/>
          <w:sz w:val="24"/>
        </w:rPr>
        <w:t>4.1. Ma trận truy vết yêu cầu (Traceability Matrix)</w:t>
      </w:r>
    </w:p>
    <w:p>
      <w:pPr>
        <w:spacing w:before="40" w:after="80" w:line="288" w:lineRule="auto"/>
      </w:pPr>
      <w:r>
        <w:rPr>
          <w:rFonts w:ascii="Times New Roman" w:hAnsi="Times New Roman"/>
          <w:color w:val="0F172A"/>
          <w:sz w:val="22"/>
        </w:rPr>
        <w:t>Ma trận truy vết bảo đảm tính liên kết hai chiều giữa các câu hỏi khảo sát, tài liệu User Stories và các Use Case chức năng:</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1806"/>
        <w:gridCol w:w="1806"/>
        <w:gridCol w:w="1806"/>
        <w:gridCol w:w="1806"/>
        <w:gridCol w:w="1806"/>
      </w:tblGrid>
      <w:tr>
        <w:tc>
          <w:tcPr>
            <w:tcW w:type="dxa" w:w="144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Mã UC</w:t>
            </w:r>
          </w:p>
        </w:tc>
        <w:tc>
          <w:tcPr>
            <w:tcW w:type="dxa" w:w="216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Mã User Story</w:t>
            </w:r>
          </w:p>
        </w:tc>
        <w:tc>
          <w:tcPr>
            <w:tcW w:type="dxa" w:w="1440"/>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Nguồn Q&amp;A</w:t>
            </w:r>
          </w:p>
        </w:tc>
        <w:tc>
          <w:tcPr>
            <w:tcW w:type="dxa" w:w="3312"/>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Tệp mã nguồn thực thi</w:t>
            </w:r>
          </w:p>
        </w:tc>
        <w:tc>
          <w:tcPr>
            <w:tcW w:type="dxa" w:w="1008"/>
            <w:shd w:fill="1E293B"/>
            <w:tcMar>
              <w:top w:w="90" w:type="dxa"/>
              <w:bottom w:w="90" w:type="dxa"/>
              <w:left w:w="130" w:type="dxa"/>
              <w:right w:w="130" w:type="dxa"/>
            </w:tcMar>
            <w:vAlign w:val="center"/>
          </w:tcPr>
          <w:p>
            <w:pPr>
              <w:spacing w:before="40" w:after="40" w:line="276" w:lineRule="auto"/>
            </w:pPr>
            <w:r>
              <w:rPr>
                <w:rFonts w:ascii="Times New Roman" w:hAnsi="Times New Roman"/>
                <w:b/>
                <w:color w:val="FFFFFF"/>
                <w:sz w:val="20"/>
              </w:rPr>
              <w:t>Tỷ lệ</w:t>
            </w:r>
          </w:p>
        </w:tc>
      </w:tr>
      <w:tr>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UC001</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US-AUTH-01, US-AUTH-02</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Q10, Q11, Q12</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backend/app/api/v1/auth.py</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w:t>
            </w:r>
          </w:p>
        </w:tc>
      </w:tr>
      <w:tr>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UC002</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US-REC-01, US-REC-02</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Q1, Q2</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backend/app/api/v1/patients.py</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w:t>
            </w:r>
          </w:p>
        </w:tc>
      </w:tr>
      <w:tr>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UC003</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US-SCHED-01, US-SCHED-02</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Q3, Q4</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backend/app/core/conflict_checker.py</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w:t>
            </w:r>
          </w:p>
        </w:tc>
      </w:tr>
      <w:tr>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UC004</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US-DOC-01, US-DOC-02</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Q5, Q6</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backend/app/api/v1/medical_records.py</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w:t>
            </w:r>
          </w:p>
        </w:tc>
      </w:tr>
      <w:tr>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UC005</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US-DOC-03, US-DOC-04</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Q7</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backend/app/api/v1/prescriptions.py</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w:t>
            </w:r>
          </w:p>
        </w:tc>
      </w:tr>
      <w:tr>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UC006</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US-ACC-01, US-ACC-02</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Q8, Q9</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backend/app/api/v1/invoices.py</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w:t>
            </w:r>
          </w:p>
        </w:tc>
      </w:tr>
      <w:tr>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UC007</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US-AI-01, US-AI-02</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Q13, Q17, Q18</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backend/app/ai_engine/anonymizer.py</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w:t>
            </w:r>
          </w:p>
        </w:tc>
      </w:tr>
      <w:tr>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UC008</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US-AI-03, US-AI-04</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Q15</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backend/app/ai_engine/knowledge_base.py</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w:t>
            </w:r>
          </w:p>
        </w:tc>
      </w:tr>
      <w:tr>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UC009</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US-AI-05, US-AI-06</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Q16</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backend/app/ai_engine/guardrails.py</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w:t>
            </w:r>
          </w:p>
        </w:tc>
      </w:tr>
      <w:tr>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UC010</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US-ADM-01, US-ADM-02</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Q19</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backend/app/api/v1/doctor_shifts.py</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w:t>
            </w:r>
          </w:p>
        </w:tc>
      </w:tr>
      <w:tr>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UC011</w:t>
            </w:r>
          </w:p>
        </w:tc>
        <w:tc>
          <w:tcPr>
            <w:tcW w:type="dxa" w:w="216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US-MED-01, US-MED-02</w:t>
            </w:r>
          </w:p>
        </w:tc>
        <w:tc>
          <w:tcPr>
            <w:tcW w:type="dxa" w:w="1440"/>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Q20</w:t>
            </w:r>
          </w:p>
        </w:tc>
        <w:tc>
          <w:tcPr>
            <w:tcW w:type="dxa" w:w="3312"/>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backend/app/api/v1/medicines.py</w:t>
            </w:r>
          </w:p>
        </w:tc>
        <w:tc>
          <w:tcPr>
            <w:tcW w:type="dxa" w:w="1008"/>
            <w:shd w:fill="FFFFFF"/>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w:t>
            </w:r>
          </w:p>
        </w:tc>
      </w:tr>
      <w:tr>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UC012</w:t>
            </w:r>
          </w:p>
        </w:tc>
        <w:tc>
          <w:tcPr>
            <w:tcW w:type="dxa" w:w="216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US-SEC-01, US-SEC-02</w:t>
            </w:r>
          </w:p>
        </w:tc>
        <w:tc>
          <w:tcPr>
            <w:tcW w:type="dxa" w:w="1440"/>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Q14</w:t>
            </w:r>
          </w:p>
        </w:tc>
        <w:tc>
          <w:tcPr>
            <w:tcW w:type="dxa" w:w="3312"/>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backend/app/api/v1/audit_logs.py</w:t>
            </w:r>
          </w:p>
        </w:tc>
        <w:tc>
          <w:tcPr>
            <w:tcW w:type="dxa" w:w="1008"/>
            <w:shd w:fill="F8FAFC"/>
            <w:tcMar>
              <w:top w:w="90" w:type="dxa"/>
              <w:bottom w:w="90" w:type="dxa"/>
              <w:left w:w="130" w:type="dxa"/>
              <w:right w:w="130" w:type="dxa"/>
            </w:tcMar>
            <w:vAlign w:val="center"/>
          </w:tcPr>
          <w:p>
            <w:pPr>
              <w:spacing w:before="40" w:after="40" w:line="276" w:lineRule="auto"/>
            </w:pPr>
            <w:r>
              <w:rPr>
                <w:rFonts w:ascii="Times New Roman" w:hAnsi="Times New Roman"/>
                <w:b w:val="0"/>
                <w:color w:val="0F172A"/>
                <w:sz w:val="19"/>
              </w:rPr>
              <w:t>100%</w:t>
            </w:r>
          </w:p>
        </w:tc>
      </w:tr>
    </w:tbl>
    <w:p>
      <w:pPr>
        <w:spacing w:after="160"/>
      </w:pPr>
    </w:p>
    <w:p>
      <w:pPr>
        <w:pStyle w:val="Heading2"/>
        <w:spacing w:before="200" w:after="60"/>
      </w:pPr>
      <w:r>
        <w:rPr>
          <w:rFonts w:ascii="Times New Roman" w:hAnsi="Times New Roman"/>
          <w:b/>
          <w:color w:val="0F172A"/>
          <w:sz w:val="24"/>
        </w:rPr>
        <w:t>4.2. Ranh giới đạo đức AI và Tuyên bố miễn trừ y tế</w:t>
      </w:r>
    </w:p>
    <w:p>
      <w:pPr>
        <w:spacing w:before="40" w:after="80" w:line="288" w:lineRule="auto"/>
      </w:pPr>
      <w:r>
        <w:rPr>
          <w:rFonts w:ascii="Times New Roman" w:hAnsi="Times New Roman"/>
          <w:color w:val="0F172A"/>
          <w:sz w:val="22"/>
        </w:rPr>
        <w:t>Các chức năng tích hợp trí tuệ nhân tạo trong hệ thống CMS-AI tuân thủ nghiêm ngặt nguyên tắc đạo đức y tế: Trợ lý AI chỉ xử lý tác vụ hành chính, sắp xếp thông tin và hỗ trợ tra cứu quy trình; Mô hình AI bị cấm đưa ra kết luận chẩn đoán bệnh học hoặc tự ý kê đơn thuốc điều trị; Mọi kết quả do AI sinh ra bắt buộc phải có bác sĩ chuyên khoa hoặc nhân viên y tế có thẩm quyền kiểm tra và phê duyệt; Toàn bộ màn hình hiển thị nội dung AI đều đính kèm thông báo miễn trừ: 'LƯU Ý Y TẾ: Nội dung do Trợ lý AI Hành chính tạo ra chỉ mang tính chất tham khảo quy trình, không thay thế cho quyết định chẩn đoán và điều trị của Bác sĩ chuyên khoa.'</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