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475569"/>
          <w:sz w:val="20"/>
        </w:rPr>
        <w:t>BỘ GIÁO DỤC VÀ ĐÀO TẠO, TRƯỜNG ĐẠI HỌC CÔNG NGHỆ THÔNG TIN VÀ TRUYỀN THÔNG</w:t>
        <w:br/>
        <w:t>KHOA CÔNG NGHỆ THÔNG TIN</w:t>
      </w:r>
    </w:p>
    <w:p>
      <w:pPr>
        <w:spacing w:before="200" w:after="80"/>
        <w:jc w:val="center"/>
      </w:pPr>
      <w:r>
        <w:rPr>
          <w:rFonts w:ascii="Times New Roman" w:hAnsi="Times New Roman"/>
          <w:b/>
          <w:color w:val="0F172A"/>
          <w:sz w:val="30"/>
        </w:rPr>
        <w:t>SCREEN FLOW &amp; TÀI LIỆU THIẾT KẾ CƠ SỞ DỮ LIỆU</w:t>
      </w:r>
    </w:p>
    <w:p>
      <w:pPr>
        <w:spacing w:before="0" w:after="160"/>
        <w:jc w:val="center"/>
      </w:pPr>
      <w:r>
        <w:rPr>
          <w:rFonts w:ascii="Times New Roman" w:hAnsi="Times New Roman"/>
          <w:b/>
          <w:color w:val="0D9488"/>
          <w:sz w:val="24"/>
        </w:rPr>
        <w:t>HỆ THỐNG QUẢN LÝ PHÒNG KHÁM CÓ TÍCH HỢP AI (CMS-AI)</w:t>
      </w:r>
    </w:p>
    <w:tbl>
      <w:tblPr>
        <w:tblW w:type="auto" w:w="0"/>
        <w:jc w:val="center"/>
        <w:tblLayout w:type="fixed"/>
        <w:tblLook w:firstColumn="1" w:firstRow="1" w:lastColumn="0" w:lastRow="0" w:noHBand="0" w:noVBand="1" w:val="04A0"/>
      </w:tblPr>
      <w:tblGrid>
        <w:gridCol w:w="9360"/>
      </w:tblGrid>
      <w:tr>
        <w:tc>
          <w:tcPr>
            <w:tcW w:type="dxa" w:w="9029"/>
            <w:shd w:fill="F8FAFC"/>
            <w:tcMar>
              <w:top w:w="100" w:type="dxa"/>
              <w:bottom w:w="100" w:type="dxa"/>
              <w:left w:w="140" w:type="dxa"/>
              <w:right w:w="140" w:type="dxa"/>
            </w:tcMar>
          </w:tcPr>
          <w:p>
            <w:pPr>
              <w:spacing w:before="40" w:after="40" w:line="288" w:lineRule="auto"/>
            </w:pPr>
            <w:r>
              <w:rPr>
                <w:rFonts w:ascii="Times New Roman" w:hAnsi="Times New Roman"/>
                <w:b/>
                <w:color w:val="0F172A"/>
                <w:sz w:val="20"/>
              </w:rPr>
              <w:t xml:space="preserve">Đơn vị thực hiện: </w:t>
            </w:r>
            <w:r>
              <w:rPr>
                <w:rFonts w:ascii="Times New Roman" w:hAnsi="Times New Roman"/>
                <w:b w:val="0"/>
                <w:color w:val="0F172A"/>
                <w:sz w:val="20"/>
              </w:rPr>
              <w:t>Nhóm 03 (Lớp An toàn thông tin K23A, ICTU)</w:t>
              <w:br/>
            </w:r>
            <w:r>
              <w:rPr>
                <w:rFonts w:ascii="Times New Roman" w:hAnsi="Times New Roman"/>
                <w:b/>
                <w:color w:val="0F172A"/>
                <w:sz w:val="20"/>
              </w:rPr>
              <w:t>Thành viên nhóm:</w:t>
              <w:br/>
            </w:r>
            <w:r>
              <w:rPr>
                <w:rFonts w:ascii="Times New Roman" w:hAnsi="Times New Roman"/>
                <w:b w:val="0"/>
                <w:color w:val="0F172A"/>
                <w:sz w:val="20"/>
              </w:rPr>
              <w:t xml:space="preserve">1. Đinh Gia Bảo </w:t>
            </w:r>
            <w:r>
              <w:rPr>
                <w:rFonts w:ascii="Times New Roman" w:hAnsi="Times New Roman"/>
                <w:b/>
                <w:color w:val="0F172A"/>
                <w:sz w:val="20"/>
              </w:rPr>
              <w:t>(Trưởng nhóm, Kiến trúc hệ thống và AI Backend)</w:t>
              <w:br/>
            </w:r>
            <w:r>
              <w:rPr>
                <w:rFonts w:ascii="Times New Roman" w:hAnsi="Times New Roman"/>
                <w:b w:val="0"/>
                <w:color w:val="0F172A"/>
                <w:sz w:val="20"/>
              </w:rPr>
              <w:t xml:space="preserve">2. Trần Đặng Công Tâm </w:t>
            </w:r>
            <w:r>
              <w:rPr>
                <w:rFonts w:ascii="Times New Roman" w:hAnsi="Times New Roman"/>
                <w:b/>
                <w:color w:val="0F172A"/>
                <w:sz w:val="20"/>
              </w:rPr>
              <w:t>(Thành viên chính, Giao diện người dùng và Kiểm thử QA)</w:t>
              <w:br/>
            </w:r>
            <w:r>
              <w:rPr>
                <w:rFonts w:ascii="Times New Roman" w:hAnsi="Times New Roman"/>
                <w:b/>
                <w:color w:val="0F172A"/>
                <w:sz w:val="20"/>
              </w:rPr>
              <w:t xml:space="preserve">Tên ứng dụng: </w:t>
            </w:r>
            <w:r>
              <w:rPr>
                <w:rFonts w:ascii="Times New Roman" w:hAnsi="Times New Roman"/>
                <w:b w:val="0"/>
                <w:color w:val="0F172A"/>
                <w:sz w:val="20"/>
              </w:rPr>
              <w:t>Hệ thống quản lý phòng khám có tích hợp AI (CMS-AI)</w:t>
              <w:br/>
            </w:r>
            <w:r>
              <w:rPr>
                <w:rFonts w:ascii="Times New Roman" w:hAnsi="Times New Roman"/>
                <w:b/>
                <w:color w:val="0F172A"/>
                <w:sz w:val="20"/>
              </w:rPr>
              <w:t xml:space="preserve">Thời gian thực hiện: </w:t>
            </w:r>
            <w:r>
              <w:rPr>
                <w:rFonts w:ascii="Times New Roman" w:hAnsi="Times New Roman"/>
                <w:b w:val="0"/>
                <w:color w:val="0F172A"/>
                <w:sz w:val="20"/>
              </w:rPr>
              <w:t>Từ 27/07/2026 đến 27/09/2026 (Thời lượng 9 tuần)</w:t>
            </w:r>
          </w:p>
        </w:tc>
      </w:tr>
    </w:tbl>
    <w:p>
      <w:pPr>
        <w:spacing w:after="120"/>
      </w:pPr>
    </w:p>
    <w:p>
      <w:pPr>
        <w:spacing w:before="40" w:after="80" w:line="288" w:lineRule="auto"/>
      </w:pPr>
      <w:r>
        <w:rPr>
          <w:rFonts w:ascii="Times New Roman" w:hAnsi="Times New Roman"/>
          <w:color w:val="0F172A"/>
          <w:sz w:val="22"/>
        </w:rPr>
        <w:t>Tài liệu mô tả chi tiết luồng chuyển màn hình (Screen Flow) theo từng vai trò người dùng và thiết kế cơ sở dữ liệu quan hệ 14 bảng đạt chuẩn chuẩn hóa 3NF của Hệ thống CMS-AI. Cấu trúc này bảo đảm tính công thái học trong vận hành y tế, khả năng đáp ứng cao và tính toàn vẹn tuyệt đối của dữ liệu bệnh nhân.</w:t>
      </w:r>
    </w:p>
    <w:p>
      <w:pPr>
        <w:pStyle w:val="Heading1"/>
        <w:spacing w:before="280" w:after="80"/>
      </w:pPr>
      <w:r>
        <w:rPr>
          <w:rFonts w:ascii="Times New Roman" w:hAnsi="Times New Roman"/>
          <w:b/>
          <w:color w:val="0F172A"/>
          <w:sz w:val="27"/>
        </w:rPr>
        <w:t>1. Screen Flow: Phân luồng màn hình của ứng dụng</w:t>
      </w:r>
    </w:p>
    <w:p>
      <w:pPr>
        <w:pStyle w:val="Heading2"/>
        <w:spacing w:before="200" w:after="60"/>
      </w:pPr>
      <w:r>
        <w:rPr>
          <w:rFonts w:ascii="Times New Roman" w:hAnsi="Times New Roman"/>
          <w:b/>
          <w:color w:val="0F172A"/>
          <w:sz w:val="24"/>
        </w:rPr>
        <w:t>1.1. Sơ đồ điều hướng tổng quát (Application Screen Map)</w:t>
      </w:r>
    </w:p>
    <w:p>
      <w:pPr>
        <w:spacing w:before="40" w:after="80" w:line="288" w:lineRule="auto"/>
      </w:pPr>
      <w:r>
        <w:rPr>
          <w:rFonts w:ascii="Times New Roman" w:hAnsi="Times New Roman"/>
          <w:color w:val="0F172A"/>
          <w:sz w:val="22"/>
        </w:rPr>
        <w:t>Hệ thống phân tách điều hướng độc lập ngay sau bước xác thực đăng nhập dựa trên trường vai trò trong mã token JWT. Dưới đây là sơ đồ tương tác và luồng chuyển màn hình trực quan cho 4 vai trò người dùng trong hệ thống CMS-AI:</w:t>
      </w:r>
    </w:p>
    <w:p>
      <w:pPr>
        <w:spacing w:before="160" w:after="60"/>
        <w:jc w:val="center"/>
      </w:pPr>
      <w:r>
        <w:drawing>
          <wp:inline xmlns:a="http://schemas.openxmlformats.org/drawingml/2006/main" xmlns:pic="http://schemas.openxmlformats.org/drawingml/2006/picture">
            <wp:extent cx="5852160" cy="3518751"/>
            <wp:docPr id="1" name="Picture 1"/>
            <wp:cNvGraphicFramePr>
              <a:graphicFrameLocks noChangeAspect="1"/>
            </wp:cNvGraphicFramePr>
            <a:graphic>
              <a:graphicData uri="http://schemas.openxmlformats.org/drawingml/2006/picture">
                <pic:pic>
                  <pic:nvPicPr>
                    <pic:cNvPr id="0" name="diagram_ui_flows_role.png"/>
                    <pic:cNvPicPr/>
                  </pic:nvPicPr>
                  <pic:blipFill>
                    <a:blip r:embed="rId9"/>
                    <a:stretch>
                      <a:fillRect/>
                    </a:stretch>
                  </pic:blipFill>
                  <pic:spPr>
                    <a:xfrm>
                      <a:off x="0" y="0"/>
                      <a:ext cx="5852160" cy="3518751"/>
                    </a:xfrm>
                    <a:prstGeom prst="rect"/>
                  </pic:spPr>
                </pic:pic>
              </a:graphicData>
            </a:graphic>
          </wp:inline>
        </w:drawing>
      </w:r>
    </w:p>
    <w:p>
      <w:pPr>
        <w:spacing w:before="40" w:after="200"/>
        <w:jc w:val="center"/>
      </w:pPr>
      <w:r>
        <w:rPr>
          <w:rFonts w:ascii="Times New Roman" w:hAnsi="Times New Roman"/>
          <w:i/>
          <w:color w:val="475569"/>
          <w:sz w:val="19"/>
        </w:rPr>
        <w:t>Hình 1.1: Sơ đồ tương tác luồng giao diện (Screen Flow) theo 4 vai trò người dùng (300 DPI)</w:t>
      </w:r>
    </w:p>
    <w:p>
      <w:pPr>
        <w:pStyle w:val="Heading2"/>
        <w:spacing w:before="200" w:after="60"/>
      </w:pPr>
      <w:r>
        <w:rPr>
          <w:rFonts w:ascii="Times New Roman" w:hAnsi="Times New Roman"/>
          <w:b/>
          <w:color w:val="0F172A"/>
          <w:sz w:val="24"/>
        </w:rPr>
        <w:t>1.2. Phân luồng màn hình chi tiết theo 4 vai trò</w:t>
      </w:r>
    </w:p>
    <w:p>
      <w:pPr>
        <w:pStyle w:val="Heading3"/>
        <w:spacing w:before="120" w:after="40"/>
      </w:pPr>
      <w:r>
        <w:rPr>
          <w:rFonts w:ascii="Times New Roman" w:hAnsi="Times New Roman"/>
          <w:b/>
          <w:color w:val="475569"/>
          <w:sz w:val="22"/>
        </w:rPr>
        <w:t>Phân hệ Lễ tân (Receptionist Flow):</w:t>
      </w:r>
    </w:p>
    <w:p>
      <w:pPr>
        <w:spacing w:before="40" w:after="80" w:line="288" w:lineRule="auto"/>
      </w:pPr>
      <w:r>
        <w:rPr>
          <w:rFonts w:ascii="Times New Roman" w:hAnsi="Times New Roman"/>
          <w:color w:val="0F172A"/>
          <w:sz w:val="22"/>
        </w:rPr>
        <w:t>1. Màn hình Đăng nhập -&gt; Nhập tài khoản lễ tân -&gt; Chuyển đến ReceptionistDashboard.</w:t>
        <w:br/>
        <w:t>2. Màn hình Tiếp đón bệnh nhân: Tìm kiếm bệnh nhân theo số CCCD hoặc SĐT. Nếu chưa có, mở biểu mẫu 'Đăng ký bệnh nhân mới', nhập thông tin nhân khẩu và mã thẻ BHYT.</w:t>
        <w:br/>
        <w:t>3. Màn hình Đặt lịch khám: Chọn bệnh nhân, chuyên khoa, bác sĩ và khung giờ. Hệ thống hiển thị trạng thái phòng khám và cảnh báo trùng lịch tức thời.</w:t>
        <w:br/>
        <w:t>4. Màn hình Hàng đợi (Queue Management): Xem danh sách bệnh nhân đang chờ tại các phòng khám, điều phối số thứ tự và chuyển bệnh nhân vào phòng khám.</w:t>
      </w:r>
    </w:p>
    <w:p>
      <w:pPr>
        <w:pStyle w:val="Heading3"/>
        <w:spacing w:before="120" w:after="40"/>
      </w:pPr>
      <w:r>
        <w:rPr>
          <w:rFonts w:ascii="Times New Roman" w:hAnsi="Times New Roman"/>
          <w:b/>
          <w:color w:val="475569"/>
          <w:sz w:val="22"/>
        </w:rPr>
        <w:t>Phân hệ Bác sĩ (Doctor Flow):</w:t>
      </w:r>
    </w:p>
    <w:p>
      <w:pPr>
        <w:spacing w:before="40" w:after="80" w:line="288" w:lineRule="auto"/>
      </w:pPr>
      <w:r>
        <w:rPr>
          <w:rFonts w:ascii="Times New Roman" w:hAnsi="Times New Roman"/>
          <w:color w:val="0F172A"/>
          <w:sz w:val="22"/>
        </w:rPr>
        <w:t>1. Màn hình Bác sĩ Dashboard: Xem lịch trực hôm nay, danh sách bệnh nhân đang đợi trước cửa phòng khám.</w:t>
        <w:br/>
        <w:t>2. Màn hình Bàn khám lâm sàng EMR: Chọn bệnh nhân, mở hồ sơ. Nhấn nút 'Xem tóm tắt AI' để mở thẻ AI Pre-visit Briefing hiển thị diễn tiến bệnh cũ.</w:t>
        <w:br/>
        <w:t>3. Nhập triệu chứng và sinh hiệu: Điền huyết áp, mạch, nhiệt độ, SpO2, chiều cao, cân nặng. Hệ thống tự động tính chỉ số BMI.</w:t>
        <w:br/>
        <w:t>4. Chẩn đoán và Kê đơn: Chọn mã bệnh ICD-10. Thêm danh mục thuốc từ kho dược. Hệ thống đối soát tiền sử dị ứng và hiển thị cảnh báo đỏ nếu phát hiện trùng dị ứng.</w:t>
        <w:br/>
        <w:t>5. Màn hình AI Dặn dò xuất viện: Nhấn nút tạo dặn dò, AI tự động sinh bảng nhắc lịch uống thuốc và chế độ ăn. Bác sĩ nhấn 'Hoàn tất khám'.</w:t>
      </w:r>
    </w:p>
    <w:p>
      <w:pPr>
        <w:pStyle w:val="Heading3"/>
        <w:spacing w:before="120" w:after="40"/>
      </w:pPr>
      <w:r>
        <w:rPr>
          <w:rFonts w:ascii="Times New Roman" w:hAnsi="Times New Roman"/>
          <w:b/>
          <w:color w:val="475569"/>
          <w:sz w:val="22"/>
        </w:rPr>
        <w:t>Phân hệ Kế toán (Accountant Flow):</w:t>
      </w:r>
    </w:p>
    <w:p>
      <w:pPr>
        <w:spacing w:before="40" w:after="80" w:line="288" w:lineRule="auto"/>
      </w:pPr>
      <w:r>
        <w:rPr>
          <w:rFonts w:ascii="Times New Roman" w:hAnsi="Times New Roman"/>
          <w:color w:val="0F172A"/>
          <w:sz w:val="22"/>
        </w:rPr>
        <w:t>1. Màn hình Kế toán Dashboard: Xem tổng doanh thu trong ngày, số hóa đơn đã thu và danh sách hồ sơ chờ thanh toán.</w:t>
        <w:br/>
        <w:t>2. Màn hình Chi tiết hóa đơn: Mở hồ sơ của người bệnh vừa khám xong. Hệ thống tự động liệt kê tiền khám, tiền thuốc và mức giảm trừ BHYT (80% hoặc 100%).</w:t>
        <w:br/>
        <w:t>3. Màn hình Thanh toán VietQR: Chọn phương thức chuyển khoản, hệ thống hiển thị mã VietQR động NAPAS chứa đúng số tiền đồng chi trả.</w:t>
        <w:br/>
        <w:t>4. Xác nhận thanh toán &amp; In hóa đơn: Khi người bệnh thanh toán thành công, kế toán bấm 'Xác nhận', hệ thống mở bản in biên lai thu tiền hợp lệ.</w:t>
      </w:r>
    </w:p>
    <w:p>
      <w:pPr>
        <w:pStyle w:val="Heading3"/>
        <w:spacing w:before="120" w:after="40"/>
      </w:pPr>
      <w:r>
        <w:rPr>
          <w:rFonts w:ascii="Times New Roman" w:hAnsi="Times New Roman"/>
          <w:b/>
          <w:color w:val="475569"/>
          <w:sz w:val="22"/>
        </w:rPr>
        <w:t>Phân hệ Quản trị viên (Admin Flow):</w:t>
      </w:r>
    </w:p>
    <w:p>
      <w:pPr>
        <w:spacing w:before="40" w:after="80" w:line="288" w:lineRule="auto"/>
      </w:pPr>
      <w:r>
        <w:rPr>
          <w:rFonts w:ascii="Times New Roman" w:hAnsi="Times New Roman"/>
          <w:color w:val="0F172A"/>
          <w:sz w:val="22"/>
        </w:rPr>
        <w:t>1. Màn hình Admin Dashboard: Xem biểu đồ doanh thu theo tuần/tháng, số lượt khám theo chuyên khoa và hiệu suất làm việc của bác sĩ.</w:t>
        <w:br/>
        <w:t>2. Màn hình Phân ca làm việc: Thiết lập lịch trực theo tuần cho từng bác sĩ (Ca sáng, chiều, tối) và gán phòng khám tương ứng.</w:t>
        <w:br/>
        <w:t>3. Màn hình Quản lý kho dược &amp; Dịch vụ: Thêm mới thuốc, cập nhật giá bán, kiểm tra số lượng tồn kho và thiết lập cảnh báo thuốc sắp hết.</w:t>
        <w:br/>
        <w:t>4. Màn hình Quản trị người dùng &amp; Phân quyền: Tạo tài khoản nhân sự mới, gán vai trò RBAC và khóa tài khoản vi phạm.</w:t>
        <w:br/>
        <w:t>5. Màn hình Nhật ký kiểm toán (Audit Logs) &amp; AI Logs: Giám sát toàn bộ thao tác thêm/sửa/xóa hồ sơ bệnh án và lịch sử gọi API trí tuệ nhân tạo.</w:t>
      </w:r>
    </w:p>
    <w:p>
      <w:pPr>
        <w:pStyle w:val="Heading1"/>
        <w:spacing w:before="280" w:after="80"/>
      </w:pPr>
      <w:r>
        <w:rPr>
          <w:rFonts w:ascii="Times New Roman" w:hAnsi="Times New Roman"/>
          <w:b/>
          <w:color w:val="0F172A"/>
          <w:sz w:val="27"/>
        </w:rPr>
        <w:t>2. Cơ sở dữ liệu</w:t>
      </w:r>
    </w:p>
    <w:p>
      <w:pPr>
        <w:pStyle w:val="Heading2"/>
        <w:spacing w:before="200" w:after="60"/>
      </w:pPr>
      <w:r>
        <w:rPr>
          <w:rFonts w:ascii="Times New Roman" w:hAnsi="Times New Roman"/>
          <w:b/>
          <w:color w:val="0F172A"/>
          <w:sz w:val="24"/>
        </w:rPr>
        <w:t>2.1. Sơ đồ thực thể quan hệ (Entity Relationship Diagram - ERD)</w:t>
      </w:r>
    </w:p>
    <w:p>
      <w:pPr>
        <w:spacing w:before="40" w:after="80" w:line="288" w:lineRule="auto"/>
      </w:pPr>
      <w:r>
        <w:rPr>
          <w:rFonts w:ascii="Times New Roman" w:hAnsi="Times New Roman"/>
          <w:color w:val="0F172A"/>
          <w:sz w:val="22"/>
        </w:rPr>
        <w:t>Cơ sở dữ liệu của Hệ thống CMS-AI gồm 14 bảng quan hệ được thiết kế chuẩn hóa đạt chuẩn 3NF, bảo đảm không có dữ liệu dư thừa bất thường, duy trì tính toàn vẹn tham chiếu và tối ưu hóa hiệu năng truy vấn:</w:t>
      </w:r>
    </w:p>
    <w:p>
      <w:pPr>
        <w:spacing w:before="160" w:after="60"/>
        <w:jc w:val="center"/>
      </w:pPr>
      <w:r>
        <w:drawing>
          <wp:inline xmlns:a="http://schemas.openxmlformats.org/drawingml/2006/main" xmlns:pic="http://schemas.openxmlformats.org/drawingml/2006/picture">
            <wp:extent cx="5852160" cy="4136979"/>
            <wp:docPr id="2" name="Picture 2"/>
            <wp:cNvGraphicFramePr>
              <a:graphicFrameLocks noChangeAspect="1"/>
            </wp:cNvGraphicFramePr>
            <a:graphic>
              <a:graphicData uri="http://schemas.openxmlformats.org/drawingml/2006/picture">
                <pic:pic>
                  <pic:nvPicPr>
                    <pic:cNvPr id="0" name="diagram_database_erd.png"/>
                    <pic:cNvPicPr/>
                  </pic:nvPicPr>
                  <pic:blipFill>
                    <a:blip r:embed="rId10"/>
                    <a:stretch>
                      <a:fillRect/>
                    </a:stretch>
                  </pic:blipFill>
                  <pic:spPr>
                    <a:xfrm>
                      <a:off x="0" y="0"/>
                      <a:ext cx="5852160" cy="4136979"/>
                    </a:xfrm>
                    <a:prstGeom prst="rect"/>
                  </pic:spPr>
                </pic:pic>
              </a:graphicData>
            </a:graphic>
          </wp:inline>
        </w:drawing>
      </w:r>
    </w:p>
    <w:p>
      <w:pPr>
        <w:spacing w:before="40" w:after="200"/>
        <w:jc w:val="center"/>
      </w:pPr>
      <w:r>
        <w:rPr>
          <w:rFonts w:ascii="Times New Roman" w:hAnsi="Times New Roman"/>
          <w:i/>
          <w:color w:val="475569"/>
          <w:sz w:val="19"/>
        </w:rPr>
        <w:t>Hình 2.1: Sơ đồ thực thể quan hệ CSDL 14 bảng chuẩn 3NF của Hệ thống CMS-AI (300 DPI)</w:t>
      </w:r>
    </w:p>
    <w:p>
      <w:pPr>
        <w:pStyle w:val="Heading2"/>
        <w:spacing w:before="200" w:after="60"/>
      </w:pPr>
      <w:r>
        <w:rPr>
          <w:rFonts w:ascii="Times New Roman" w:hAnsi="Times New Roman"/>
          <w:b/>
          <w:color w:val="0F172A"/>
          <w:sz w:val="24"/>
        </w:rPr>
        <w:t>2.2. Từ điển dữ liệu chi tiết 14 bảng cơ sở dữ liệu quan hệ (Data Dictionary)</w:t>
      </w:r>
    </w:p>
    <w:p>
      <w:pPr>
        <w:spacing w:before="40" w:after="80" w:line="288" w:lineRule="auto"/>
      </w:pPr>
      <w:r>
        <w:rPr>
          <w:rFonts w:ascii="Times New Roman" w:hAnsi="Times New Roman"/>
          <w:color w:val="0F172A"/>
          <w:sz w:val="22"/>
        </w:rPr>
        <w:t>Đặc tả cấu trúc chi tiết từng cột, kiểu dữ liệu, ràng buộc khóa chính (PK), khóa ngoại (FK) và mục đích sử dụng cho toàn bộ 14 bảng trong hệ thống:</w:t>
      </w:r>
    </w:p>
    <w:p>
      <w:pPr>
        <w:pStyle w:val="Heading3"/>
        <w:spacing w:before="120" w:after="40"/>
      </w:pPr>
      <w:r>
        <w:rPr>
          <w:rFonts w:ascii="Times New Roman" w:hAnsi="Times New Roman"/>
          <w:b/>
          <w:color w:val="475569"/>
          <w:sz w:val="22"/>
        </w:rPr>
        <w:t>Bảng: users</w:t>
      </w:r>
    </w:p>
    <w:p>
      <w:pPr>
        <w:spacing w:before="40" w:after="80"/>
      </w:pPr>
      <w:r>
        <w:rPr>
          <w:rFonts w:ascii="Times New Roman" w:hAnsi="Times New Roman"/>
          <w:i/>
          <w:sz w:val="20"/>
        </w:rPr>
        <w:t>Mô tả: Quản lý danh sách tài khoản người dùng và xác thực nhân viên phòng khám.</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định danh duy nhất người dùng</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username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VARCHAR(50)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Tên tài khoản đăng nhập hệ thống</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email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Địa chỉ thư điện tử liên hệ</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full_name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Họ và tên đầy đủ của nhân sự</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hashed_password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VARCHAR(255)</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Chuỗi mật khẩu đã băm bằng thuật toán Bcrypt</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role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Vai trò: admin, receptionist, doctor, accountant</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is_active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BOOLEAN</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DEFAULT TRUE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Trạng thái kích hoạt tài khoản</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created_at</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DATETIME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DEFAULT CURRENT_TIMESTAMP</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Thời điểm khởi tạo tài khoản</w:t>
            </w:r>
          </w:p>
        </w:tc>
      </w:tr>
    </w:tbl>
    <w:p>
      <w:pPr>
        <w:spacing w:after="120"/>
      </w:pPr>
    </w:p>
    <w:p>
      <w:pPr>
        <w:pStyle w:val="Heading3"/>
        <w:spacing w:before="120" w:after="40"/>
      </w:pPr>
      <w:r>
        <w:rPr>
          <w:rFonts w:ascii="Times New Roman" w:hAnsi="Times New Roman"/>
          <w:b/>
          <w:color w:val="475569"/>
          <w:sz w:val="22"/>
        </w:rPr>
        <w:t>Bảng: patients</w:t>
      </w:r>
    </w:p>
    <w:p>
      <w:pPr>
        <w:spacing w:before="40" w:after="80"/>
      </w:pPr>
      <w:r>
        <w:rPr>
          <w:rFonts w:ascii="Times New Roman" w:hAnsi="Times New Roman"/>
          <w:i/>
          <w:sz w:val="20"/>
        </w:rPr>
        <w:t>Mô tả: Lưu trữ hồ sơ nhân khẩu, định danh cá nhân và tiền sử y tế bệnh nhân.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Khóa chính hồ sơ bệnh nhân</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medical_code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số định danh y tế (VD: BN-2026-0001)</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full_name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Họ và tên bệnh nhân</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date_of_birth</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DATE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Ngày tháng năm sinh</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gender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Giới tính (MALE, FEMALE, OTHER)</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phone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INDEX</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điện thoại liên hệ chính</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identity_card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UNIQUE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CCCD/CMND 12 chữ số</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address</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VARCHAR(255)</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Địa chỉ cư trú thường trú</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insurance_number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 INDEX</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số thẻ Bảo hiểm Y tế (BHYT) 15 ký tự</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medical_history</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TEXT</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Tóm tắt tiền sử bệnh mãn tính, phẫu thuật cũ</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drug_allergies</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TEXT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Danh mục hoạt chất thuốc bị dị ứng</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emergency_contact</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Tên và SĐT người thân liên hệ khẩn cấp</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created_at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DATETIME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CURRENT_TIMESTAMP</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Thời điểm đăng ký hồ sơ</w:t>
            </w:r>
          </w:p>
        </w:tc>
      </w:tr>
    </w:tbl>
    <w:p>
      <w:pPr>
        <w:spacing w:after="120"/>
      </w:pPr>
    </w:p>
    <w:p>
      <w:pPr>
        <w:pStyle w:val="Heading3"/>
        <w:spacing w:before="120" w:after="40"/>
      </w:pPr>
      <w:r>
        <w:rPr>
          <w:rFonts w:ascii="Times New Roman" w:hAnsi="Times New Roman"/>
          <w:b/>
          <w:color w:val="475569"/>
          <w:sz w:val="22"/>
        </w:rPr>
        <w:t>Bảng: specialties</w:t>
      </w:r>
    </w:p>
    <w:p>
      <w:pPr>
        <w:spacing w:before="40" w:after="80"/>
      </w:pPr>
      <w:r>
        <w:rPr>
          <w:rFonts w:ascii="Times New Roman" w:hAnsi="Times New Roman"/>
          <w:i/>
          <w:sz w:val="20"/>
        </w:rPr>
        <w:t>Mô tả: Danh mục các chuyên khoa y tế phục vụ khám bệnh.</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định danh chuyên khoa</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name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Tên chuyên khoa (Nội khoa, Ngoại khoa, Nhi...)</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description</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VARCHAR(255)</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Mô tả phạm vi chuyên môn tiếp nhận</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is_active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BOOLEAN</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TRUE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Trạng thái hoạt động của chuyên khoa</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created_at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DATETIME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CURRENT_TIMESTAMP</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Thời điểm tạo</w:t>
            </w:r>
          </w:p>
        </w:tc>
      </w:tr>
    </w:tbl>
    <w:p>
      <w:pPr>
        <w:spacing w:after="120"/>
      </w:pPr>
    </w:p>
    <w:p>
      <w:pPr>
        <w:pStyle w:val="Heading3"/>
        <w:spacing w:before="120" w:after="40"/>
      </w:pPr>
      <w:r>
        <w:rPr>
          <w:rFonts w:ascii="Times New Roman" w:hAnsi="Times New Roman"/>
          <w:b/>
          <w:color w:val="475569"/>
          <w:sz w:val="22"/>
        </w:rPr>
        <w:t>Bảng: clinics</w:t>
      </w:r>
    </w:p>
    <w:p>
      <w:pPr>
        <w:spacing w:before="40" w:after="80"/>
      </w:pPr>
      <w:r>
        <w:rPr>
          <w:rFonts w:ascii="Times New Roman" w:hAnsi="Times New Roman"/>
          <w:i/>
          <w:sz w:val="20"/>
        </w:rPr>
        <w:t>Mô tả: Quản lý buồng khám vật lý tại cơ sở y tế.</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định danh buồng khám</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name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Tên hiển thị (VD: Phòng khám Nội 101)</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room_number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phòng trên thực địa</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specialty_id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specialties.id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Chuyên khoa của buồng khám</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is_active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BOOLEAN</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TRUE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Trạng thái buồng khám sẵn sàng</w:t>
            </w:r>
          </w:p>
        </w:tc>
      </w:tr>
    </w:tbl>
    <w:p>
      <w:pPr>
        <w:spacing w:after="120"/>
      </w:pPr>
    </w:p>
    <w:p>
      <w:pPr>
        <w:pStyle w:val="Heading3"/>
        <w:spacing w:before="120" w:after="40"/>
      </w:pPr>
      <w:r>
        <w:rPr>
          <w:rFonts w:ascii="Times New Roman" w:hAnsi="Times New Roman"/>
          <w:b/>
          <w:color w:val="475569"/>
          <w:sz w:val="22"/>
        </w:rPr>
        <w:t>Bảng: doctors</w:t>
      </w:r>
    </w:p>
    <w:p>
      <w:pPr>
        <w:spacing w:before="40" w:after="80"/>
      </w:pPr>
      <w:r>
        <w:rPr>
          <w:rFonts w:ascii="Times New Roman" w:hAnsi="Times New Roman"/>
          <w:i/>
          <w:sz w:val="20"/>
        </w:rPr>
        <w:t>Mô tả: Thông tin chuyên môn, chứng chỉ hành nghề của bác sĩ.</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định danh bác sĩ</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user_id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 FK -&gt; users.id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Liên kết tài khoản người dùng</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specialty_id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specialties.id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Chuyên khoa chuyên môn</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clinic_id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 FK -&gt; clinics.id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Buồng khám làm việc chính</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license_number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VARCHAR(50)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chứng chỉ hành nghề y</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title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VARCHAR(50)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Học hàm, học vị (BS.CKI, ThS.BS, PGS.TS)</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bio</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TEXT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Tóm tắt kinh nghiệm công tác</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phone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điện thoại liên hệ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max_patients_per_shift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20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lượt khám tối đa trong 1 ca trực</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is_active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BOOLEAN</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TRUE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Trạng thái đang công tác</w:t>
            </w:r>
          </w:p>
        </w:tc>
      </w:tr>
    </w:tbl>
    <w:p>
      <w:pPr>
        <w:spacing w:after="120"/>
      </w:pPr>
    </w:p>
    <w:p>
      <w:pPr>
        <w:pStyle w:val="Heading3"/>
        <w:spacing w:before="120" w:after="40"/>
      </w:pPr>
      <w:r>
        <w:rPr>
          <w:rFonts w:ascii="Times New Roman" w:hAnsi="Times New Roman"/>
          <w:b/>
          <w:color w:val="475569"/>
          <w:sz w:val="22"/>
        </w:rPr>
        <w:t>Bảng: doctor_shifts</w:t>
      </w:r>
    </w:p>
    <w:p>
      <w:pPr>
        <w:spacing w:before="40" w:after="80"/>
      </w:pPr>
      <w:r>
        <w:rPr>
          <w:rFonts w:ascii="Times New Roman" w:hAnsi="Times New Roman"/>
          <w:i/>
          <w:sz w:val="20"/>
        </w:rPr>
        <w:t>Mô tả: Lịch trực theo ca của bác sĩ làm căn cứ kiểm tra xung đột.</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định danh ca trực</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doctor_id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doctors.id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phụ trách</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clinic_id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clinics.id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Buồng khám phân công</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shift_date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DATE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INDEX</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Ngày làm việc của ca</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start_time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TIME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Giờ bắt đầu ca trực (VD: 08:00:00)</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end_time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TIME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Giờ kết thúc ca trực (VD: 12:00:00)</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max_patients</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20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Giới hạn số bệnh nhân tiếp nhận</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status</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'SCHEDULED'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Trạng thái: SCHEDULED, ACTIVE, COMPLETED</w:t>
            </w:r>
          </w:p>
        </w:tc>
      </w:tr>
    </w:tbl>
    <w:p>
      <w:pPr>
        <w:spacing w:after="120"/>
      </w:pPr>
    </w:p>
    <w:p>
      <w:pPr>
        <w:pStyle w:val="Heading3"/>
        <w:spacing w:before="120" w:after="40"/>
      </w:pPr>
      <w:r>
        <w:rPr>
          <w:rFonts w:ascii="Times New Roman" w:hAnsi="Times New Roman"/>
          <w:b/>
          <w:color w:val="475569"/>
          <w:sz w:val="22"/>
        </w:rPr>
        <w:t>Bảng: appointments</w:t>
      </w:r>
    </w:p>
    <w:p>
      <w:pPr>
        <w:spacing w:before="40" w:after="80"/>
      </w:pPr>
      <w:r>
        <w:rPr>
          <w:rFonts w:ascii="Times New Roman" w:hAnsi="Times New Roman"/>
          <w:i/>
          <w:sz w:val="20"/>
        </w:rPr>
        <w:t>Mô tả: Lịch hẹn khám bệnh và dữ liệu quản lý hàng đợi tiếp đón.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định danh lịch hẹn</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appointment_code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phiếu hẹn (VD: APT-2026-0001)</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patient_id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patients.id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Bệnh nhân đặt khám</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doctor_id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doctors.id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chỉ định</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clinic_id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clinics.id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Buồng khám chỉ định</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appointment_date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DATE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INDEX</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Ngày hẹn khám</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start_time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TIME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Giờ hẹn bắt đầu</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end_time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TIME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Giờ hẹn kết thúc</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status</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DEFAULT 'PENDING'</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PENDING, CONFIRMED, COMPLETED, CANCELLED</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reason</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VARCHAR(255)</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Lý do khám bệnh ban đầu</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notes</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TEXT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Ghi chú điều phối lễ tân</w:t>
            </w:r>
          </w:p>
        </w:tc>
      </w:tr>
    </w:tbl>
    <w:p>
      <w:pPr>
        <w:spacing w:after="120"/>
      </w:pPr>
    </w:p>
    <w:p>
      <w:pPr>
        <w:pStyle w:val="Heading3"/>
        <w:spacing w:before="120" w:after="40"/>
      </w:pPr>
      <w:r>
        <w:rPr>
          <w:rFonts w:ascii="Times New Roman" w:hAnsi="Times New Roman"/>
          <w:b/>
          <w:color w:val="475569"/>
          <w:sz w:val="22"/>
        </w:rPr>
        <w:t>Bảng: medical_records</w:t>
      </w:r>
    </w:p>
    <w:p>
      <w:pPr>
        <w:spacing w:before="40" w:after="80"/>
      </w:pPr>
      <w:r>
        <w:rPr>
          <w:rFonts w:ascii="Times New Roman" w:hAnsi="Times New Roman"/>
          <w:i/>
          <w:sz w:val="20"/>
        </w:rPr>
        <w:t>Mô tả: Hồ sơ bệnh án điện tử EMR ghi nhận kết quả khám và chỉ số sinh hiệu.</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định danh bệnh án EMR</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record_code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phiếu khám bệnh</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appointment_id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 UNIQUE, FK -&gt; appointments.id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Lịch hẹn liên kết</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patient_id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patients.id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Bệnh nhân được khám</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doctor_id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doctors.id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trực tiếp khám</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pulse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Nhịp tim (lần/phút)</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blood_pressure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Huyết áp tâm thu/tâm trương (mmHg)</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temperature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DECIMAL(4,1)</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Nhiệt độ cơ thể (độ C)</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spo2</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Độ bão hòa oxy trong máu (%)</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height</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DECIMAL(5,1)</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Chiều cao bệnh nhân (cm)</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weight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DECIMAL(5,1)</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Cân nặng bệnh nhân (kg)</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bmi</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DECIMAL(4,2)</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Chỉ số khối cơ thể tính tự động</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symptoms</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TEXT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Triệu chứng cơ năng và lý do vào viện</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icd10_code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 INDEX</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chẩn đoán chuẩn quốc tế ICD-10</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diagnosis</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TEXT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Kết luận chẩn đoán xác định bệnh</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status</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DEFAULT 'DRAFT'</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DRAFT, COMPLETED, CANCELLED</w:t>
            </w:r>
          </w:p>
        </w:tc>
      </w:tr>
    </w:tbl>
    <w:p>
      <w:pPr>
        <w:spacing w:after="120"/>
      </w:pPr>
    </w:p>
    <w:p>
      <w:pPr>
        <w:pStyle w:val="Heading3"/>
        <w:spacing w:before="120" w:after="40"/>
      </w:pPr>
      <w:r>
        <w:rPr>
          <w:rFonts w:ascii="Times New Roman" w:hAnsi="Times New Roman"/>
          <w:b/>
          <w:color w:val="475569"/>
          <w:sz w:val="22"/>
        </w:rPr>
        <w:t>Bảng: service_orders</w:t>
      </w:r>
    </w:p>
    <w:p>
      <w:pPr>
        <w:spacing w:before="40" w:after="80"/>
      </w:pPr>
      <w:r>
        <w:rPr>
          <w:rFonts w:ascii="Times New Roman" w:hAnsi="Times New Roman"/>
          <w:i/>
          <w:sz w:val="20"/>
        </w:rPr>
        <w:t>Mô tả: Chỉ định cận lâm sàng, xét nghiệm và kỹ thuật y khoa.</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chỉ định dịch vụ</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medical_record_id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medical_records.id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Hồ sơ bệnh án liên kết</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service_name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Tên dịch vụ kỹ thuật</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unit_price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DECIMAL(12,2)</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Đơn giá niêm yết</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quantity</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1</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lượng chỉ định</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status</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'PENDING'</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PENDING, COMPLETED, CANCELLED</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result_summary</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TEXT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Tóm tắt kết luận kỹ thuật cận lâm sàng</w:t>
            </w:r>
          </w:p>
        </w:tc>
      </w:tr>
    </w:tbl>
    <w:p>
      <w:pPr>
        <w:spacing w:after="120"/>
      </w:pPr>
    </w:p>
    <w:p>
      <w:pPr>
        <w:pStyle w:val="Heading3"/>
        <w:spacing w:before="120" w:after="40"/>
      </w:pPr>
      <w:r>
        <w:rPr>
          <w:rFonts w:ascii="Times New Roman" w:hAnsi="Times New Roman"/>
          <w:b/>
          <w:color w:val="475569"/>
          <w:sz w:val="22"/>
        </w:rPr>
        <w:t>Bảng: prescriptions</w:t>
      </w:r>
    </w:p>
    <w:p>
      <w:pPr>
        <w:spacing w:before="40" w:after="80"/>
      </w:pPr>
      <w:r>
        <w:rPr>
          <w:rFonts w:ascii="Times New Roman" w:hAnsi="Times New Roman"/>
          <w:i/>
          <w:sz w:val="20"/>
        </w:rPr>
        <w:t>Mô tả: Đơn thuốc điện tử do bác sĩ kê trong phiên khám.</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định danh đơn thuốc</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prescription_code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đơn thuốc điện tử</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medical_record_id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 FK -&gt; medical_records.id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Bệnh án tương ứng</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doctor_id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doctors.id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kê đơn</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usage_instructions</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TEXT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Lời dặn dò chung về chế độ dùng thuốc</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created_at</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DATETIME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CURRENT_TIMESTAMP</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Thời điểm kê đơn</w:t>
            </w:r>
          </w:p>
        </w:tc>
      </w:tr>
    </w:tbl>
    <w:p>
      <w:pPr>
        <w:spacing w:after="120"/>
      </w:pPr>
    </w:p>
    <w:p>
      <w:pPr>
        <w:pStyle w:val="Heading3"/>
        <w:spacing w:before="120" w:after="40"/>
      </w:pPr>
      <w:r>
        <w:rPr>
          <w:rFonts w:ascii="Times New Roman" w:hAnsi="Times New Roman"/>
          <w:b/>
          <w:color w:val="475569"/>
          <w:sz w:val="22"/>
        </w:rPr>
        <w:t>Bảng: prescription_items</w:t>
      </w:r>
    </w:p>
    <w:p>
      <w:pPr>
        <w:spacing w:before="40" w:after="80"/>
      </w:pPr>
      <w:r>
        <w:rPr>
          <w:rFonts w:ascii="Times New Roman" w:hAnsi="Times New Roman"/>
          <w:i/>
          <w:sz w:val="20"/>
        </w:rPr>
        <w:t>Mô tả: Chi tiết từng loại thuốc, liều dùng và cách dùng trong đơn.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chi tiết đơn thuốc</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prescription_id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prescriptions.id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Đơn thuốc chứa mục này</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medicine_id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medicines.id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Loại thuốc được cấp</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quantity</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Tổng số lượng viên/gói</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dosage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Liều lượng mỗi lần dùng</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morning</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lượng uống buổi sáng</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noon</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lượng uống buổi trưa</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afternoon</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lượng uống buổi chiều</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evening</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lượng uống buổi tối</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notes</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VARCHAR(255)</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Lời dặn riêng (uống trước/sau ăn)</w:t>
            </w:r>
          </w:p>
        </w:tc>
      </w:tr>
    </w:tbl>
    <w:p>
      <w:pPr>
        <w:spacing w:after="120"/>
      </w:pPr>
    </w:p>
    <w:p>
      <w:pPr>
        <w:pStyle w:val="Heading3"/>
        <w:spacing w:before="120" w:after="40"/>
      </w:pPr>
      <w:r>
        <w:rPr>
          <w:rFonts w:ascii="Times New Roman" w:hAnsi="Times New Roman"/>
          <w:b/>
          <w:color w:val="475569"/>
          <w:sz w:val="22"/>
        </w:rPr>
        <w:t>Bảng: medicines</w:t>
      </w:r>
    </w:p>
    <w:p>
      <w:pPr>
        <w:spacing w:before="40" w:after="80"/>
      </w:pPr>
      <w:r>
        <w:rPr>
          <w:rFonts w:ascii="Times New Roman" w:hAnsi="Times New Roman"/>
          <w:i/>
          <w:sz w:val="20"/>
        </w:rPr>
        <w:t>Mô tả: Quản lý danh mục dược phẩm và theo dõi tồn kho thuốc.</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định danh dược phẩm</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medicine_code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thuốc theo quy chuẩn</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name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Tên thương mại của thuốc</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active_ingredient</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Tên hoạt chất chính phục vụ kiểm tra dị ứng</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unit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Đơn vị tính (Viên, Gói, Chai, Hộp)</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unit_price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DECIMAL(12,2)</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Đơn giá bán niêm yết (VNĐ)</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stock_quantity</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DEFAULT 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lượng hiện có trong kho</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min_stock_alert</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10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Ngưỡng cảnh báo sắp hết hàng</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is_active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BOOLEAN</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TRUE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Trạng thái còn lưu hành</w:t>
            </w:r>
          </w:p>
        </w:tc>
      </w:tr>
    </w:tbl>
    <w:p>
      <w:pPr>
        <w:spacing w:after="120"/>
      </w:pPr>
    </w:p>
    <w:p>
      <w:pPr>
        <w:pStyle w:val="Heading3"/>
        <w:spacing w:before="120" w:after="40"/>
      </w:pPr>
      <w:r>
        <w:rPr>
          <w:rFonts w:ascii="Times New Roman" w:hAnsi="Times New Roman"/>
          <w:b/>
          <w:color w:val="475569"/>
          <w:sz w:val="22"/>
        </w:rPr>
        <w:t>Bảng: invoices</w:t>
      </w:r>
    </w:p>
    <w:p>
      <w:pPr>
        <w:spacing w:before="40" w:after="80"/>
      </w:pPr>
      <w:r>
        <w:rPr>
          <w:rFonts w:ascii="Times New Roman" w:hAnsi="Times New Roman"/>
          <w:i/>
          <w:sz w:val="20"/>
        </w:rPr>
        <w:t>Mô tả: Quản lý hóa đơn viện phí, khấu trừ BHYT và giao dịch VietQR.</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định danh hóa đơn</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invoice_code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hóa đơn tài chính (INV-2026-XXXX)</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medical_record_id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UNIQUE, FK -&gt; medical_records.id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Bệnh án tương ứng</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patient_id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FK -&gt; patients.id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Bệnh nhân thanh toán</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total_amount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DECIMAL(12,2)</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Tổng chi phí trước giảm trừ</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insurance_deduction</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DECIMAL(12,2)</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DEFAULT 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tiền BHYT chi trả</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patient_pay_amount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DECIMAL(12,2)</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tiền bệnh nhân phải đồng chi trả</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payment_method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CASH, BANK_TRANSFER, VIETQR</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payment_status</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VARCHAR(20)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 DEFAULT 'UNPAID'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UNPAID, PAID, CANCELLED</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vietqr_url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TEXT</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Đường dẫn mã QR thanh toán động NAPAS</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paid_at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DATETIME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Thời điểm hoàn tất giao dịch</w:t>
            </w:r>
          </w:p>
        </w:tc>
      </w:tr>
    </w:tbl>
    <w:p>
      <w:pPr>
        <w:spacing w:after="120"/>
      </w:pPr>
    </w:p>
    <w:p>
      <w:pPr>
        <w:pStyle w:val="Heading3"/>
        <w:spacing w:before="120" w:after="40"/>
      </w:pPr>
      <w:r>
        <w:rPr>
          <w:rFonts w:ascii="Times New Roman" w:hAnsi="Times New Roman"/>
          <w:b/>
          <w:color w:val="475569"/>
          <w:sz w:val="22"/>
        </w:rPr>
        <w:t>Bảng: audit_logs</w:t>
      </w:r>
    </w:p>
    <w:p>
      <w:pPr>
        <w:spacing w:before="40" w:after="80"/>
      </w:pPr>
      <w:r>
        <w:rPr>
          <w:rFonts w:ascii="Times New Roman" w:hAnsi="Times New Roman"/>
          <w:i/>
          <w:sz w:val="20"/>
        </w:rPr>
        <w:t>Mô tả: Lưu vết bất biến mọi thao tác an ninh và nhật ký kiểm toán hệ thống.</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1728"/>
        <w:gridCol w:w="1872"/>
        <w:gridCol w:w="3600"/>
      </w:tblGrid>
      <w:tr>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cột (Column)</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Kiểu dữ liệu</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(Constraints)</w:t>
            </w:r>
          </w:p>
        </w:tc>
        <w:tc>
          <w:tcPr>
            <w:tcW w:type="dxa" w:w="2257"/>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nghĩa nghiệp vụ</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PRIMARY KEY, AUTO_INCREMENT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bản ghi kiểm toán</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user_id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 FK -&gt; users.id</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dùng thực hiện hành động</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action</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VARCHAR(50)</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Hành động (LOGIN, EMR_VIEW, AI_CALL, PAY)</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resource</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VARCHAR(100)</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Đối tượng tác động (Patient, Invoice...)</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resource_id</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INTEGER</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của đối tượng bị tác động</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ip_address</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VARCHAR(45)</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NOT 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Địa chỉ IPv4/IPv6 máy Client</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details</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TEXT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Thông tin bổ sung chi tiết về thay đổi</w:t>
            </w:r>
          </w:p>
        </w:tc>
      </w:tr>
      <w:tr>
        <w:tc>
          <w:tcPr>
            <w:tcW w:type="dxa" w:w="2257"/>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8"/>
              </w:rPr>
              <w:t>payload_hash</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VARCHAR(64)</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NULL</w:t>
            </w:r>
          </w:p>
        </w:tc>
        <w:tc>
          <w:tcPr>
            <w:tcW w:type="dxa" w:w="2257"/>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băm SHA-256 bảo đảm tính toàn vẹn</w:t>
            </w:r>
          </w:p>
        </w:tc>
      </w:tr>
      <w:tr>
        <w:tc>
          <w:tcPr>
            <w:tcW w:type="dxa" w:w="2257"/>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8"/>
              </w:rPr>
              <w:t>created_at</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DATETIME</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DEFAULT CURRENT_TIMESTAMP</w:t>
            </w:r>
          </w:p>
        </w:tc>
        <w:tc>
          <w:tcPr>
            <w:tcW w:type="dxa" w:w="2257"/>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Thời điểm ghi nhận sự kiện</w:t>
            </w:r>
          </w:p>
        </w:tc>
      </w:tr>
    </w:tbl>
    <w:p>
      <w:pPr>
        <w:spacing w:after="120"/>
      </w:pPr>
    </w:p>
    <w:p>
      <w:pPr>
        <w:pStyle w:val="Heading2"/>
        <w:spacing w:before="200" w:after="60"/>
      </w:pPr>
      <w:r>
        <w:rPr>
          <w:rFonts w:ascii="Times New Roman" w:hAnsi="Times New Roman"/>
          <w:b/>
          <w:color w:val="0F172A"/>
          <w:sz w:val="24"/>
        </w:rPr>
        <w:t>2.3. Các ràng buộc toàn vẹn trong CSDL (Database Integrity Constraints)</w:t>
      </w:r>
    </w:p>
    <w:p>
      <w:pPr>
        <w:spacing w:before="40" w:after="40"/>
      </w:pPr>
      <w:r>
        <w:rPr>
          <w:rFonts w:ascii="Times New Roman" w:hAnsi="Times New Roman"/>
          <w:b/>
          <w:sz w:val="22"/>
        </w:rPr>
        <w:t xml:space="preserve">1. Ràng buộc thực thể (Entity Integrity): </w:t>
      </w:r>
      <w:r>
        <w:rPr>
          <w:rFonts w:ascii="Times New Roman" w:hAnsi="Times New Roman"/>
          <w:sz w:val="22"/>
        </w:rPr>
        <w:t>Mỗi bảng đều có một khóa chính (PK) duy nhất kiểu số nguyên tự tăng hoặc UUID không mang giá trị NULL, bảo đảm tính định danh xác thực.</w:t>
      </w:r>
    </w:p>
    <w:p>
      <w:pPr>
        <w:spacing w:before="40" w:after="40"/>
      </w:pPr>
      <w:r>
        <w:rPr>
          <w:rFonts w:ascii="Times New Roman" w:hAnsi="Times New Roman"/>
          <w:b/>
          <w:sz w:val="22"/>
        </w:rPr>
        <w:t xml:space="preserve">2. Ràng buộc tham chiếu (Referential Integrity): </w:t>
      </w:r>
      <w:r>
        <w:rPr>
          <w:rFonts w:ascii="Times New Roman" w:hAnsi="Times New Roman"/>
          <w:sz w:val="22"/>
        </w:rPr>
        <w:t>Các khóa ngoại (FK) liên kết chính xác giữa các bảng. Áp dụng quy tắc ON DELETE RESTRICT cho bảng bệnh nhân và bác sĩ (không cho phép xóa người bệnh khi đã có lịch sử khám bệnh). Áp dụng ON DELETE CASCADE cho chi tiết đơn thuốc và chi tiết hóa đơn.</w:t>
      </w:r>
    </w:p>
    <w:p>
      <w:pPr>
        <w:spacing w:before="40" w:after="40"/>
      </w:pPr>
      <w:r>
        <w:rPr>
          <w:rFonts w:ascii="Times New Roman" w:hAnsi="Times New Roman"/>
          <w:b/>
          <w:sz w:val="22"/>
        </w:rPr>
        <w:t xml:space="preserve">3. Ràng buộc duy nhất (Unique Constraints): </w:t>
      </w:r>
      <w:r>
        <w:rPr>
          <w:rFonts w:ascii="Times New Roman" w:hAnsi="Times New Roman"/>
          <w:sz w:val="22"/>
        </w:rPr>
        <w:t>Số CCCD (identity_card) gồm 12 số là duy nhất trong toàn hệ thống. Mã thẻ BHYT (insurance_number) 15 ký tự là duy nhất. Tên đăng nhập (username) và mã thuốc (medicine_code) không được trùng lặp.</w:t>
      </w:r>
    </w:p>
    <w:p>
      <w:pPr>
        <w:spacing w:before="40" w:after="40"/>
      </w:pPr>
      <w:r>
        <w:rPr>
          <w:rFonts w:ascii="Times New Roman" w:hAnsi="Times New Roman"/>
          <w:b/>
          <w:sz w:val="22"/>
        </w:rPr>
        <w:t xml:space="preserve">4. Ràng buộc kiểm tra miền giá trị (Check Constraints): </w:t>
      </w:r>
      <w:r>
        <w:rPr>
          <w:rFonts w:ascii="Times New Roman" w:hAnsi="Times New Roman"/>
          <w:sz w:val="22"/>
        </w:rPr>
        <w:t>Số lượng thuốc (quantity &gt; 0), đơn giá dược phẩm (unit_price &gt;= 0), chỉ số SpO2 trong khoảng 0 đến 100%, huyết áp và mạch mang giá trị số dương hợp lý. Trạng thái lịch hẹn chỉ nhận các giá trị: 'pending', 'confirmed', 'in_progress', 'completed', 'cancelled'.</w:t>
      </w:r>
    </w:p>
    <w:p>
      <w:pPr>
        <w:spacing w:before="40" w:after="40"/>
      </w:pPr>
      <w:r>
        <w:rPr>
          <w:rFonts w:ascii="Times New Roman" w:hAnsi="Times New Roman"/>
          <w:b/>
          <w:sz w:val="22"/>
        </w:rPr>
        <w:t xml:space="preserve">5. Ràng buộc toàn vẹn thời gian chống trùng lịch (Temporal Integrity): </w:t>
      </w:r>
      <w:r>
        <w:rPr>
          <w:rFonts w:ascii="Times New Roman" w:hAnsi="Times New Roman"/>
          <w:sz w:val="22"/>
        </w:rPr>
        <w:t>Ràng buộc không giao thoa thời gian đối với bác sĩ và phòng khám. Hai lịch hẹn của cùng một bác sĩ hoặc cùng một phòng khám phải thỏa mãn điều kiện thời gian kết thúc của lịch trước nhỏ hơn hoặc bằng thời gian bắt đầu của lịch sau: E1 &lt;= S2 hoặc E2 &lt;= S1.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