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F7A79" w14:textId="77777777" w:rsidR="006B23B5" w:rsidRPr="006B23B5" w:rsidRDefault="006B23B5" w:rsidP="006B23B5">
      <w:pPr>
        <w:rPr>
          <w:color w:val="2D3B45"/>
        </w:rPr>
      </w:pPr>
      <w:bookmarkStart w:id="0" w:name="_GoBack"/>
      <w:bookmarkEnd w:id="0"/>
      <w:r w:rsidRPr="006B23B5">
        <w:t xml:space="preserve">I started </w:t>
      </w:r>
      <w:r>
        <w:t>by plotting the data (Figure 1) we were given, and adding a trend line, which is the Excel way to make a linear model.</w:t>
      </w:r>
    </w:p>
    <w:p w14:paraId="7E7A6ACA" w14:textId="77777777" w:rsidR="006B23B5" w:rsidRDefault="006B23B5" w:rsidP="006B23B5">
      <w:pPr>
        <w:pStyle w:val="Caption"/>
        <w:keepNext/>
        <w:jc w:val="center"/>
      </w:pPr>
      <w:r>
        <w:t xml:space="preserve">Figure </w:t>
      </w:r>
      <w:r w:rsidR="00F94FE6">
        <w:fldChar w:fldCharType="begin"/>
      </w:r>
      <w:r w:rsidR="00F94FE6">
        <w:instrText xml:space="preserve"> SEQ Figure \* ARABIC </w:instrText>
      </w:r>
      <w:r w:rsidR="00F94FE6">
        <w:fldChar w:fldCharType="separate"/>
      </w:r>
      <w:r w:rsidR="007770FA">
        <w:rPr>
          <w:noProof/>
        </w:rPr>
        <w:t>1</w:t>
      </w:r>
      <w:r w:rsidR="00F94FE6">
        <w:rPr>
          <w:noProof/>
        </w:rPr>
        <w:fldChar w:fldCharType="end"/>
      </w:r>
    </w:p>
    <w:p w14:paraId="395FCAE2" w14:textId="77777777" w:rsidR="001E40CF" w:rsidRDefault="006B23B5" w:rsidP="006B23B5">
      <w:pPr>
        <w:jc w:val="center"/>
      </w:pPr>
      <w:r>
        <w:rPr>
          <w:noProof/>
        </w:rPr>
        <w:drawing>
          <wp:inline distT="0" distB="0" distL="0" distR="0" wp14:anchorId="59A403FA" wp14:editId="043972C1">
            <wp:extent cx="3657600" cy="2298837"/>
            <wp:effectExtent l="0" t="0" r="0" b="12700"/>
            <wp:docPr id="1" name="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AF7118D" w14:textId="77777777" w:rsidR="006B23B5" w:rsidRDefault="006B23B5">
      <w:r>
        <w:t>That result wasn’t terribly informative, so I projected the line forward and got Figure 2</w:t>
      </w:r>
    </w:p>
    <w:p w14:paraId="50FF8457" w14:textId="77777777" w:rsidR="006B23B5" w:rsidRDefault="006B23B5"/>
    <w:p w14:paraId="7584EE98" w14:textId="77777777" w:rsidR="006B23B5" w:rsidRDefault="006B23B5" w:rsidP="006B23B5">
      <w:pPr>
        <w:pStyle w:val="Caption"/>
        <w:keepNext/>
        <w:jc w:val="center"/>
      </w:pPr>
      <w:r>
        <w:t xml:space="preserve">Figure </w:t>
      </w:r>
      <w:r w:rsidR="00F94FE6">
        <w:fldChar w:fldCharType="begin"/>
      </w:r>
      <w:r w:rsidR="00F94FE6">
        <w:instrText xml:space="preserve"> SEQ Figure \* ARABIC </w:instrText>
      </w:r>
      <w:r w:rsidR="00F94FE6">
        <w:fldChar w:fldCharType="separate"/>
      </w:r>
      <w:r w:rsidR="007770FA">
        <w:rPr>
          <w:noProof/>
        </w:rPr>
        <w:t>2</w:t>
      </w:r>
      <w:r w:rsidR="00F94FE6">
        <w:rPr>
          <w:noProof/>
        </w:rPr>
        <w:fldChar w:fldCharType="end"/>
      </w:r>
    </w:p>
    <w:p w14:paraId="07C23A21" w14:textId="77777777" w:rsidR="006B23B5" w:rsidRDefault="006B23B5" w:rsidP="006B23B5">
      <w:pPr>
        <w:jc w:val="center"/>
      </w:pPr>
      <w:r>
        <w:rPr>
          <w:noProof/>
        </w:rPr>
        <w:drawing>
          <wp:inline distT="0" distB="0" distL="0" distR="0" wp14:anchorId="2AF3FCEE" wp14:editId="6D3AED62">
            <wp:extent cx="3657600" cy="2417885"/>
            <wp:effectExtent l="0" t="0" r="0" b="20955"/>
            <wp:docPr id="2" name="Ch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3CAFAC" w14:textId="77777777" w:rsidR="006B23B5" w:rsidRDefault="006B23B5" w:rsidP="006B23B5">
      <w:pPr>
        <w:jc w:val="center"/>
      </w:pPr>
    </w:p>
    <w:p w14:paraId="502C2F5A" w14:textId="01AF3EC8" w:rsidR="006B23B5" w:rsidRPr="00AC4948" w:rsidRDefault="006B23B5" w:rsidP="006B23B5">
      <w:r>
        <w:t>We know an Adjusted-R</w:t>
      </w:r>
      <w:r w:rsidRPr="00075E4F">
        <w:rPr>
          <w:vertAlign w:val="superscript"/>
        </w:rPr>
        <w:t>2</w:t>
      </w:r>
      <w:r>
        <w:t xml:space="preserve"> value of 1.0 is a “perfect fit”, we are told in the problem statement that an error of 0.0 is likewise a perfect fit.</w:t>
      </w:r>
      <w:r w:rsidR="00075E4F">
        <w:t xml:space="preserve">  </w:t>
      </w:r>
      <w:r w:rsidR="00A049BC">
        <w:t>The line looks like there should be 0 error for Adjusted-R</w:t>
      </w:r>
      <w:r w:rsidR="00A049BC" w:rsidRPr="00075E4F">
        <w:rPr>
          <w:vertAlign w:val="superscript"/>
        </w:rPr>
        <w:t>2</w:t>
      </w:r>
      <w:r w:rsidR="00A049BC">
        <w:t xml:space="preserve"> values of ~.84.  However, there is an interesting question about the effect of those seeming outliers.  </w:t>
      </w:r>
      <w:r w:rsidR="007770FA">
        <w:t xml:space="preserve"> Removing the error score of 122.656 changed the results significantly.  Now, the line for the linear relationship </w:t>
      </w:r>
      <w:r w:rsidR="00EC0EDD">
        <w:t>between Adjusted</w:t>
      </w:r>
      <w:r w:rsidR="007770FA">
        <w:t>-R</w:t>
      </w:r>
      <w:r w:rsidR="007770FA" w:rsidRPr="00075E4F">
        <w:rPr>
          <w:vertAlign w:val="superscript"/>
        </w:rPr>
        <w:t>2</w:t>
      </w:r>
      <w:r w:rsidR="007770FA">
        <w:rPr>
          <w:vertAlign w:val="superscript"/>
        </w:rPr>
        <w:t xml:space="preserve"> </w:t>
      </w:r>
      <w:r w:rsidR="007770FA">
        <w:t xml:space="preserve">and error crosses the y-axis around </w:t>
      </w:r>
      <w:r w:rsidR="007770FA">
        <w:lastRenderedPageBreak/>
        <w:t>x=1.25 which is beyond the values Adjusted-R</w:t>
      </w:r>
      <w:r w:rsidR="007770FA" w:rsidRPr="00075E4F">
        <w:rPr>
          <w:vertAlign w:val="superscript"/>
        </w:rPr>
        <w:t>2</w:t>
      </w:r>
      <w:r w:rsidR="007770FA">
        <w:rPr>
          <w:vertAlign w:val="superscript"/>
        </w:rPr>
        <w:t xml:space="preserve"> </w:t>
      </w:r>
      <w:r w:rsidR="007770FA">
        <w:t>can have.  Removing additional seeming outliers pushes the x-intercept even higher.</w:t>
      </w:r>
      <w:r w:rsidR="00AC4948">
        <w:t xml:space="preserve">  As seen in Figure 3.  I conclude from this that no, on its own, </w:t>
      </w:r>
      <w:r w:rsidR="00AC4948">
        <w:t>Adjusted-R</w:t>
      </w:r>
      <w:r w:rsidR="00AC4948" w:rsidRPr="00075E4F">
        <w:rPr>
          <w:vertAlign w:val="superscript"/>
        </w:rPr>
        <w:t>2</w:t>
      </w:r>
      <w:r w:rsidR="00AC4948">
        <w:rPr>
          <w:vertAlign w:val="superscript"/>
        </w:rPr>
        <w:t xml:space="preserve"> </w:t>
      </w:r>
      <w:r w:rsidR="00AC4948">
        <w:t>is not a great predictor of performance on new data.</w:t>
      </w:r>
    </w:p>
    <w:p w14:paraId="4A216FAE" w14:textId="77777777" w:rsidR="007770FA" w:rsidRDefault="007770FA" w:rsidP="006B23B5"/>
    <w:p w14:paraId="7FC633D5" w14:textId="77777777" w:rsidR="007770FA" w:rsidRDefault="007770FA" w:rsidP="007770FA">
      <w:pPr>
        <w:pStyle w:val="Caption"/>
        <w:keepNext/>
        <w:jc w:val="center"/>
      </w:pPr>
      <w:r>
        <w:t xml:space="preserve">Figure </w:t>
      </w:r>
      <w:r w:rsidR="00F94FE6">
        <w:fldChar w:fldCharType="begin"/>
      </w:r>
      <w:r w:rsidR="00F94FE6">
        <w:instrText xml:space="preserve"> SEQ Figure \* ARABIC </w:instrText>
      </w:r>
      <w:r w:rsidR="00F94FE6">
        <w:fldChar w:fldCharType="separate"/>
      </w:r>
      <w:r>
        <w:rPr>
          <w:noProof/>
        </w:rPr>
        <w:t>3</w:t>
      </w:r>
      <w:r w:rsidR="00F94FE6">
        <w:rPr>
          <w:noProof/>
        </w:rPr>
        <w:fldChar w:fldCharType="end"/>
      </w:r>
    </w:p>
    <w:p w14:paraId="71BF7979" w14:textId="77777777" w:rsidR="007770FA" w:rsidRDefault="007770FA" w:rsidP="007770FA">
      <w:pPr>
        <w:jc w:val="center"/>
      </w:pPr>
      <w:r>
        <w:rPr>
          <w:noProof/>
        </w:rPr>
        <w:drawing>
          <wp:inline distT="0" distB="0" distL="0" distR="0" wp14:anchorId="08B1A7EA" wp14:editId="22837149">
            <wp:extent cx="3657600" cy="2522921"/>
            <wp:effectExtent l="0" t="0" r="0" b="17145"/>
            <wp:docPr id="3" name="Char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083368" w14:textId="77777777" w:rsidR="00AC4948" w:rsidRDefault="00AC4948" w:rsidP="00AC4948"/>
    <w:p w14:paraId="44A8F1D4" w14:textId="26E37518" w:rsidR="00AC4948" w:rsidRPr="00AC4948" w:rsidRDefault="00AC4948" w:rsidP="00AC4948">
      <w:r>
        <w:t xml:space="preserve">I think there is value in looking at </w:t>
      </w:r>
      <w:r>
        <w:t>Adjusted-R</w:t>
      </w:r>
      <w:r w:rsidRPr="00075E4F">
        <w:rPr>
          <w:vertAlign w:val="superscript"/>
        </w:rPr>
        <w:t>2</w:t>
      </w:r>
      <w:r>
        <w:t xml:space="preserve"> </w:t>
      </w:r>
      <w:r w:rsidR="00CC7CA7">
        <w:t xml:space="preserve">when comparing 2 models to each other, </w:t>
      </w:r>
      <w:r>
        <w:t xml:space="preserve">but it </w:t>
      </w:r>
      <w:r w:rsidR="00CC7CA7">
        <w:t>is not a robust</w:t>
      </w:r>
      <w:r>
        <w:t xml:space="preserve"> predictor of </w:t>
      </w:r>
      <w:r w:rsidR="00CC7CA7">
        <w:t xml:space="preserve">overall </w:t>
      </w:r>
      <w:r>
        <w:t xml:space="preserve">model goodness.  </w:t>
      </w:r>
      <w:r w:rsidR="00F94FE6">
        <w:t>To decide if a model is “ready for prime time” and deployment, I think there needs to be information on the performance the model showed with test data.  Perhaps the area under an ROC curve for the test set.</w:t>
      </w:r>
      <w:r w:rsidR="00CC7CA7">
        <w:t xml:space="preserve"> </w:t>
      </w:r>
    </w:p>
    <w:sectPr w:rsidR="00AC4948" w:rsidRPr="00AC4948" w:rsidSect="008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3210A"/>
    <w:multiLevelType w:val="multilevel"/>
    <w:tmpl w:val="88A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B5"/>
    <w:rsid w:val="00075E4F"/>
    <w:rsid w:val="001E40CF"/>
    <w:rsid w:val="00225078"/>
    <w:rsid w:val="00266614"/>
    <w:rsid w:val="0064351D"/>
    <w:rsid w:val="006B23B5"/>
    <w:rsid w:val="00774D39"/>
    <w:rsid w:val="007770FA"/>
    <w:rsid w:val="008F71ED"/>
    <w:rsid w:val="009163DC"/>
    <w:rsid w:val="00A049BC"/>
    <w:rsid w:val="00AC4948"/>
    <w:rsid w:val="00CC7CA7"/>
    <w:rsid w:val="00D47F28"/>
    <w:rsid w:val="00EC0EDD"/>
    <w:rsid w:val="00F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C2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614"/>
    <w:pPr>
      <w:spacing w:after="200" w:line="276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23B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23B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tamtwill/NorthwesternU_MSPA/Classes/Generalized%20Linear%20Models%20-%20411/Bonus%20Assignments/Adj%20R_sq/Williams_T_adj_RSq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tamtwill/NorthwesternU_MSPA/Classes/Generalized%20Linear%20Models%20-%20411/Bonus%20Assignments/Adj%20R_sq/Williams_T_adj_RSq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tamtwill/NorthwesternU_MSPA/Classes/Generalized%20Linear%20Models%20-%20411/Bonus%20Assignments/Adj%20R_sq/Williams_T_adj_RSq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</a:t>
            </a:r>
            <a:r>
              <a:rPr lang="en-US" baseline="0"/>
              <a:t> v Adj R2 with Linear Trendline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SCORE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716203271201269"/>
                  <c:y val="-0.2000591205169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Sheet1!$A$2:$A$46</c:f>
              <c:numCache>
                <c:formatCode>General</c:formatCode>
                <c:ptCount val="45"/>
                <c:pt idx="0">
                  <c:v>0.4978</c:v>
                </c:pt>
                <c:pt idx="1">
                  <c:v>0.4499</c:v>
                </c:pt>
                <c:pt idx="2">
                  <c:v>0.4441</c:v>
                </c:pt>
                <c:pt idx="3">
                  <c:v>0.4267</c:v>
                </c:pt>
                <c:pt idx="4">
                  <c:v>0.401</c:v>
                </c:pt>
                <c:pt idx="5">
                  <c:v>0.4532</c:v>
                </c:pt>
                <c:pt idx="6">
                  <c:v>0.42934</c:v>
                </c:pt>
                <c:pt idx="7">
                  <c:v>0.44727</c:v>
                </c:pt>
                <c:pt idx="8">
                  <c:v>0.2822</c:v>
                </c:pt>
                <c:pt idx="9">
                  <c:v>0.4125</c:v>
                </c:pt>
                <c:pt idx="10">
                  <c:v>0.42</c:v>
                </c:pt>
                <c:pt idx="11">
                  <c:v>0.404</c:v>
                </c:pt>
                <c:pt idx="12">
                  <c:v>0.4006</c:v>
                </c:pt>
                <c:pt idx="13">
                  <c:v>0.3954</c:v>
                </c:pt>
                <c:pt idx="14">
                  <c:v>0.4445</c:v>
                </c:pt>
                <c:pt idx="15">
                  <c:v>0.4591</c:v>
                </c:pt>
                <c:pt idx="16">
                  <c:v>0.4081</c:v>
                </c:pt>
                <c:pt idx="17">
                  <c:v>0.4128</c:v>
                </c:pt>
                <c:pt idx="18">
                  <c:v>0.3999</c:v>
                </c:pt>
                <c:pt idx="19">
                  <c:v>0.3726</c:v>
                </c:pt>
                <c:pt idx="20">
                  <c:v>0.43071</c:v>
                </c:pt>
                <c:pt idx="21">
                  <c:v>0.32</c:v>
                </c:pt>
                <c:pt idx="22">
                  <c:v>0.3021</c:v>
                </c:pt>
                <c:pt idx="23">
                  <c:v>0.3674</c:v>
                </c:pt>
                <c:pt idx="24">
                  <c:v>0.43162</c:v>
                </c:pt>
                <c:pt idx="25">
                  <c:v>0.4023</c:v>
                </c:pt>
                <c:pt idx="26">
                  <c:v>0.4019</c:v>
                </c:pt>
                <c:pt idx="27">
                  <c:v>0.3505</c:v>
                </c:pt>
                <c:pt idx="28">
                  <c:v>0.354</c:v>
                </c:pt>
                <c:pt idx="29">
                  <c:v>0.3838</c:v>
                </c:pt>
                <c:pt idx="30">
                  <c:v>0.44087</c:v>
                </c:pt>
                <c:pt idx="31">
                  <c:v>0.3891</c:v>
                </c:pt>
                <c:pt idx="32">
                  <c:v>0.3088</c:v>
                </c:pt>
                <c:pt idx="33">
                  <c:v>0.40869</c:v>
                </c:pt>
                <c:pt idx="34">
                  <c:v>0.30916</c:v>
                </c:pt>
                <c:pt idx="35">
                  <c:v>0.3191</c:v>
                </c:pt>
                <c:pt idx="36">
                  <c:v>0.3514</c:v>
                </c:pt>
                <c:pt idx="37">
                  <c:v>0.2951</c:v>
                </c:pt>
                <c:pt idx="38">
                  <c:v>0.4588</c:v>
                </c:pt>
                <c:pt idx="39">
                  <c:v>0.4168</c:v>
                </c:pt>
                <c:pt idx="40">
                  <c:v>0.302</c:v>
                </c:pt>
                <c:pt idx="41">
                  <c:v>0.4051</c:v>
                </c:pt>
                <c:pt idx="42">
                  <c:v>0.3797</c:v>
                </c:pt>
                <c:pt idx="43">
                  <c:v>0.2971</c:v>
                </c:pt>
                <c:pt idx="44">
                  <c:v>0.3098</c:v>
                </c:pt>
              </c:numCache>
            </c:numRef>
          </c:xVal>
          <c:yVal>
            <c:numRef>
              <c:f>Sheet1!$B$2:$B$46</c:f>
              <c:numCache>
                <c:formatCode>General</c:formatCode>
                <c:ptCount val="45"/>
                <c:pt idx="0">
                  <c:v>33.836</c:v>
                </c:pt>
                <c:pt idx="1">
                  <c:v>34.63</c:v>
                </c:pt>
                <c:pt idx="2">
                  <c:v>35.24</c:v>
                </c:pt>
                <c:pt idx="3">
                  <c:v>35.661</c:v>
                </c:pt>
                <c:pt idx="4">
                  <c:v>35.88</c:v>
                </c:pt>
                <c:pt idx="5">
                  <c:v>35.89</c:v>
                </c:pt>
                <c:pt idx="6">
                  <c:v>35.9</c:v>
                </c:pt>
                <c:pt idx="7">
                  <c:v>36.008</c:v>
                </c:pt>
                <c:pt idx="8">
                  <c:v>36.06</c:v>
                </c:pt>
                <c:pt idx="9">
                  <c:v>36.212</c:v>
                </c:pt>
                <c:pt idx="10">
                  <c:v>36.513</c:v>
                </c:pt>
                <c:pt idx="11">
                  <c:v>36.56</c:v>
                </c:pt>
                <c:pt idx="12">
                  <c:v>36.674</c:v>
                </c:pt>
                <c:pt idx="13">
                  <c:v>36.755</c:v>
                </c:pt>
                <c:pt idx="14">
                  <c:v>36.78</c:v>
                </c:pt>
                <c:pt idx="15">
                  <c:v>36.84</c:v>
                </c:pt>
                <c:pt idx="16">
                  <c:v>36.945</c:v>
                </c:pt>
                <c:pt idx="17">
                  <c:v>37.145</c:v>
                </c:pt>
                <c:pt idx="18">
                  <c:v>37.332</c:v>
                </c:pt>
                <c:pt idx="19">
                  <c:v>37.66</c:v>
                </c:pt>
                <c:pt idx="20">
                  <c:v>37.747</c:v>
                </c:pt>
                <c:pt idx="21">
                  <c:v>37.873</c:v>
                </c:pt>
                <c:pt idx="22">
                  <c:v>38.164</c:v>
                </c:pt>
                <c:pt idx="23">
                  <c:v>38.18</c:v>
                </c:pt>
                <c:pt idx="24">
                  <c:v>38.345</c:v>
                </c:pt>
                <c:pt idx="25">
                  <c:v>38.531</c:v>
                </c:pt>
                <c:pt idx="26">
                  <c:v>38.73</c:v>
                </c:pt>
                <c:pt idx="27">
                  <c:v>38.856</c:v>
                </c:pt>
                <c:pt idx="28">
                  <c:v>39.0979</c:v>
                </c:pt>
                <c:pt idx="29">
                  <c:v>39.33</c:v>
                </c:pt>
                <c:pt idx="30">
                  <c:v>39.391</c:v>
                </c:pt>
                <c:pt idx="31">
                  <c:v>39.464</c:v>
                </c:pt>
                <c:pt idx="32">
                  <c:v>39.53</c:v>
                </c:pt>
                <c:pt idx="33">
                  <c:v>39.62</c:v>
                </c:pt>
                <c:pt idx="34">
                  <c:v>39.874</c:v>
                </c:pt>
                <c:pt idx="35">
                  <c:v>40.375</c:v>
                </c:pt>
                <c:pt idx="36">
                  <c:v>40.794</c:v>
                </c:pt>
                <c:pt idx="37">
                  <c:v>41.198</c:v>
                </c:pt>
                <c:pt idx="38">
                  <c:v>42.839</c:v>
                </c:pt>
                <c:pt idx="39">
                  <c:v>45.094</c:v>
                </c:pt>
                <c:pt idx="40">
                  <c:v>45.36</c:v>
                </c:pt>
                <c:pt idx="41">
                  <c:v>62.2941</c:v>
                </c:pt>
                <c:pt idx="42">
                  <c:v>70.995</c:v>
                </c:pt>
                <c:pt idx="43">
                  <c:v>75.651</c:v>
                </c:pt>
                <c:pt idx="44">
                  <c:v>122.656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50323136"/>
        <c:axId val="-671294016"/>
      </c:scatterChart>
      <c:valAx>
        <c:axId val="-75032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Adj R- Sq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71294016"/>
        <c:crosses val="autoZero"/>
        <c:crossBetween val="midCat"/>
      </c:valAx>
      <c:valAx>
        <c:axId val="-67129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5032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Score v Adj R2 with Linear Trendline</a:t>
            </a:r>
            <a:endParaRPr lang="en-US" sz="1400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/>
              <a:t>projected forward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SCORE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0"/>
            <c:dispRSqr val="1"/>
            <c:dispEq val="1"/>
            <c:trendlineLbl>
              <c:layout>
                <c:manualLayout>
                  <c:x val="-0.133858267716535"/>
                  <c:y val="0.0087210522247131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-94.448x + 78.823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Sheet1!$A$2:$A$46</c:f>
              <c:numCache>
                <c:formatCode>General</c:formatCode>
                <c:ptCount val="45"/>
                <c:pt idx="0">
                  <c:v>0.4978</c:v>
                </c:pt>
                <c:pt idx="1">
                  <c:v>0.4499</c:v>
                </c:pt>
                <c:pt idx="2">
                  <c:v>0.4441</c:v>
                </c:pt>
                <c:pt idx="3">
                  <c:v>0.4267</c:v>
                </c:pt>
                <c:pt idx="4">
                  <c:v>0.401</c:v>
                </c:pt>
                <c:pt idx="5">
                  <c:v>0.4532</c:v>
                </c:pt>
                <c:pt idx="6">
                  <c:v>0.42934</c:v>
                </c:pt>
                <c:pt idx="7">
                  <c:v>0.44727</c:v>
                </c:pt>
                <c:pt idx="8">
                  <c:v>0.2822</c:v>
                </c:pt>
                <c:pt idx="9">
                  <c:v>0.4125</c:v>
                </c:pt>
                <c:pt idx="10">
                  <c:v>0.42</c:v>
                </c:pt>
                <c:pt idx="11">
                  <c:v>0.404</c:v>
                </c:pt>
                <c:pt idx="12">
                  <c:v>0.4006</c:v>
                </c:pt>
                <c:pt idx="13">
                  <c:v>0.3954</c:v>
                </c:pt>
                <c:pt idx="14">
                  <c:v>0.4445</c:v>
                </c:pt>
                <c:pt idx="15">
                  <c:v>0.4591</c:v>
                </c:pt>
                <c:pt idx="16">
                  <c:v>0.4081</c:v>
                </c:pt>
                <c:pt idx="17">
                  <c:v>0.4128</c:v>
                </c:pt>
                <c:pt idx="18">
                  <c:v>0.3999</c:v>
                </c:pt>
                <c:pt idx="19">
                  <c:v>0.3726</c:v>
                </c:pt>
                <c:pt idx="20">
                  <c:v>0.43071</c:v>
                </c:pt>
                <c:pt idx="21">
                  <c:v>0.32</c:v>
                </c:pt>
                <c:pt idx="22">
                  <c:v>0.3021</c:v>
                </c:pt>
                <c:pt idx="23">
                  <c:v>0.3674</c:v>
                </c:pt>
                <c:pt idx="24">
                  <c:v>0.43162</c:v>
                </c:pt>
                <c:pt idx="25">
                  <c:v>0.4023</c:v>
                </c:pt>
                <c:pt idx="26">
                  <c:v>0.4019</c:v>
                </c:pt>
                <c:pt idx="27">
                  <c:v>0.3505</c:v>
                </c:pt>
                <c:pt idx="28">
                  <c:v>0.354</c:v>
                </c:pt>
                <c:pt idx="29">
                  <c:v>0.3838</c:v>
                </c:pt>
                <c:pt idx="30">
                  <c:v>0.44087</c:v>
                </c:pt>
                <c:pt idx="31">
                  <c:v>0.3891</c:v>
                </c:pt>
                <c:pt idx="32">
                  <c:v>0.3088</c:v>
                </c:pt>
                <c:pt idx="33">
                  <c:v>0.40869</c:v>
                </c:pt>
                <c:pt idx="34">
                  <c:v>0.30916</c:v>
                </c:pt>
                <c:pt idx="35">
                  <c:v>0.3191</c:v>
                </c:pt>
                <c:pt idx="36">
                  <c:v>0.3514</c:v>
                </c:pt>
                <c:pt idx="37">
                  <c:v>0.2951</c:v>
                </c:pt>
                <c:pt idx="38">
                  <c:v>0.4588</c:v>
                </c:pt>
                <c:pt idx="39">
                  <c:v>0.4168</c:v>
                </c:pt>
                <c:pt idx="40">
                  <c:v>0.302</c:v>
                </c:pt>
                <c:pt idx="41">
                  <c:v>0.4051</c:v>
                </c:pt>
                <c:pt idx="42">
                  <c:v>0.3797</c:v>
                </c:pt>
                <c:pt idx="43">
                  <c:v>0.2971</c:v>
                </c:pt>
                <c:pt idx="44">
                  <c:v>0.3098</c:v>
                </c:pt>
              </c:numCache>
            </c:numRef>
          </c:xVal>
          <c:yVal>
            <c:numRef>
              <c:f>Sheet1!$B$2:$B$46</c:f>
              <c:numCache>
                <c:formatCode>General</c:formatCode>
                <c:ptCount val="45"/>
                <c:pt idx="0">
                  <c:v>33.836</c:v>
                </c:pt>
                <c:pt idx="1">
                  <c:v>34.63</c:v>
                </c:pt>
                <c:pt idx="2">
                  <c:v>35.24</c:v>
                </c:pt>
                <c:pt idx="3">
                  <c:v>35.661</c:v>
                </c:pt>
                <c:pt idx="4">
                  <c:v>35.88</c:v>
                </c:pt>
                <c:pt idx="5">
                  <c:v>35.89</c:v>
                </c:pt>
                <c:pt idx="6">
                  <c:v>35.9</c:v>
                </c:pt>
                <c:pt idx="7">
                  <c:v>36.008</c:v>
                </c:pt>
                <c:pt idx="8">
                  <c:v>36.06</c:v>
                </c:pt>
                <c:pt idx="9">
                  <c:v>36.212</c:v>
                </c:pt>
                <c:pt idx="10">
                  <c:v>36.513</c:v>
                </c:pt>
                <c:pt idx="11">
                  <c:v>36.56</c:v>
                </c:pt>
                <c:pt idx="12">
                  <c:v>36.674</c:v>
                </c:pt>
                <c:pt idx="13">
                  <c:v>36.755</c:v>
                </c:pt>
                <c:pt idx="14">
                  <c:v>36.78</c:v>
                </c:pt>
                <c:pt idx="15">
                  <c:v>36.84</c:v>
                </c:pt>
                <c:pt idx="16">
                  <c:v>36.945</c:v>
                </c:pt>
                <c:pt idx="17">
                  <c:v>37.145</c:v>
                </c:pt>
                <c:pt idx="18">
                  <c:v>37.332</c:v>
                </c:pt>
                <c:pt idx="19">
                  <c:v>37.66</c:v>
                </c:pt>
                <c:pt idx="20">
                  <c:v>37.747</c:v>
                </c:pt>
                <c:pt idx="21">
                  <c:v>37.873</c:v>
                </c:pt>
                <c:pt idx="22">
                  <c:v>38.164</c:v>
                </c:pt>
                <c:pt idx="23">
                  <c:v>38.18</c:v>
                </c:pt>
                <c:pt idx="24">
                  <c:v>38.345</c:v>
                </c:pt>
                <c:pt idx="25">
                  <c:v>38.531</c:v>
                </c:pt>
                <c:pt idx="26">
                  <c:v>38.73</c:v>
                </c:pt>
                <c:pt idx="27">
                  <c:v>38.856</c:v>
                </c:pt>
                <c:pt idx="28">
                  <c:v>39.0979</c:v>
                </c:pt>
                <c:pt idx="29">
                  <c:v>39.33</c:v>
                </c:pt>
                <c:pt idx="30">
                  <c:v>39.391</c:v>
                </c:pt>
                <c:pt idx="31">
                  <c:v>39.464</c:v>
                </c:pt>
                <c:pt idx="32">
                  <c:v>39.53</c:v>
                </c:pt>
                <c:pt idx="33">
                  <c:v>39.62</c:v>
                </c:pt>
                <c:pt idx="34">
                  <c:v>39.874</c:v>
                </c:pt>
                <c:pt idx="35">
                  <c:v>40.375</c:v>
                </c:pt>
                <c:pt idx="36">
                  <c:v>40.794</c:v>
                </c:pt>
                <c:pt idx="37">
                  <c:v>41.198</c:v>
                </c:pt>
                <c:pt idx="38">
                  <c:v>42.839</c:v>
                </c:pt>
                <c:pt idx="39">
                  <c:v>45.094</c:v>
                </c:pt>
                <c:pt idx="40">
                  <c:v>45.36</c:v>
                </c:pt>
                <c:pt idx="41">
                  <c:v>62.2941</c:v>
                </c:pt>
                <c:pt idx="42">
                  <c:v>70.995</c:v>
                </c:pt>
                <c:pt idx="43">
                  <c:v>75.651</c:v>
                </c:pt>
                <c:pt idx="44">
                  <c:v>122.656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49892960"/>
        <c:axId val="-638899264"/>
      </c:scatterChart>
      <c:valAx>
        <c:axId val="-74989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Adj R- Sq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8899264"/>
        <c:crosses val="autoZero"/>
        <c:crossBetween val="midCat"/>
      </c:valAx>
      <c:valAx>
        <c:axId val="-63889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4989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Score v Adj R2 with Linear Trendline</a:t>
            </a:r>
            <a:endParaRPr lang="en-US" sz="1400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/>
              <a:t>projected forward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SCORE</c:v>
                </c:pt>
              </c:strCache>
            </c:strRef>
          </c:tx>
          <c:spPr>
            <a:ln w="4762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0"/>
            <c:dispRSqr val="0"/>
            <c:dispEq val="1"/>
            <c:trendlineLbl>
              <c:layout>
                <c:manualLayout>
                  <c:x val="-0.0772878733969649"/>
                  <c:y val="-0.37241907261592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Sheet1!$A$2:$A$45</c:f>
              <c:numCache>
                <c:formatCode>General</c:formatCode>
                <c:ptCount val="44"/>
                <c:pt idx="0">
                  <c:v>0.4978</c:v>
                </c:pt>
                <c:pt idx="1">
                  <c:v>0.4499</c:v>
                </c:pt>
                <c:pt idx="2">
                  <c:v>0.4441</c:v>
                </c:pt>
                <c:pt idx="3">
                  <c:v>0.4267</c:v>
                </c:pt>
                <c:pt idx="4">
                  <c:v>0.401</c:v>
                </c:pt>
                <c:pt idx="5">
                  <c:v>0.4532</c:v>
                </c:pt>
                <c:pt idx="6">
                  <c:v>0.42934</c:v>
                </c:pt>
                <c:pt idx="7">
                  <c:v>0.44727</c:v>
                </c:pt>
                <c:pt idx="8">
                  <c:v>0.2822</c:v>
                </c:pt>
                <c:pt idx="9">
                  <c:v>0.4125</c:v>
                </c:pt>
                <c:pt idx="10">
                  <c:v>0.42</c:v>
                </c:pt>
                <c:pt idx="11">
                  <c:v>0.404</c:v>
                </c:pt>
                <c:pt idx="12">
                  <c:v>0.4006</c:v>
                </c:pt>
                <c:pt idx="13">
                  <c:v>0.3954</c:v>
                </c:pt>
                <c:pt idx="14">
                  <c:v>0.4445</c:v>
                </c:pt>
                <c:pt idx="15">
                  <c:v>0.4591</c:v>
                </c:pt>
                <c:pt idx="16">
                  <c:v>0.4081</c:v>
                </c:pt>
                <c:pt idx="17">
                  <c:v>0.4128</c:v>
                </c:pt>
                <c:pt idx="18">
                  <c:v>0.3999</c:v>
                </c:pt>
                <c:pt idx="19">
                  <c:v>0.3726</c:v>
                </c:pt>
                <c:pt idx="20">
                  <c:v>0.43071</c:v>
                </c:pt>
                <c:pt idx="21">
                  <c:v>0.32</c:v>
                </c:pt>
                <c:pt idx="22">
                  <c:v>0.3021</c:v>
                </c:pt>
                <c:pt idx="23">
                  <c:v>0.3674</c:v>
                </c:pt>
                <c:pt idx="24">
                  <c:v>0.43162</c:v>
                </c:pt>
                <c:pt idx="25">
                  <c:v>0.4023</c:v>
                </c:pt>
                <c:pt idx="26">
                  <c:v>0.4019</c:v>
                </c:pt>
                <c:pt idx="27">
                  <c:v>0.3505</c:v>
                </c:pt>
                <c:pt idx="28">
                  <c:v>0.354</c:v>
                </c:pt>
                <c:pt idx="29">
                  <c:v>0.3838</c:v>
                </c:pt>
                <c:pt idx="30">
                  <c:v>0.44087</c:v>
                </c:pt>
                <c:pt idx="31">
                  <c:v>0.3891</c:v>
                </c:pt>
                <c:pt idx="32">
                  <c:v>0.3088</c:v>
                </c:pt>
                <c:pt idx="33">
                  <c:v>0.40869</c:v>
                </c:pt>
                <c:pt idx="34">
                  <c:v>0.30916</c:v>
                </c:pt>
                <c:pt idx="35">
                  <c:v>0.3191</c:v>
                </c:pt>
                <c:pt idx="36">
                  <c:v>0.3514</c:v>
                </c:pt>
                <c:pt idx="37">
                  <c:v>0.2951</c:v>
                </c:pt>
                <c:pt idx="38">
                  <c:v>0.4588</c:v>
                </c:pt>
                <c:pt idx="39">
                  <c:v>0.4168</c:v>
                </c:pt>
                <c:pt idx="40">
                  <c:v>0.302</c:v>
                </c:pt>
                <c:pt idx="41">
                  <c:v>0.4051</c:v>
                </c:pt>
                <c:pt idx="42">
                  <c:v>0.3797</c:v>
                </c:pt>
                <c:pt idx="43">
                  <c:v>0.2971</c:v>
                </c:pt>
              </c:numCache>
            </c:numRef>
          </c:xVal>
          <c:yVal>
            <c:numRef>
              <c:f>Sheet1!$B$2:$B$45</c:f>
              <c:numCache>
                <c:formatCode>General</c:formatCode>
                <c:ptCount val="44"/>
                <c:pt idx="0">
                  <c:v>33.836</c:v>
                </c:pt>
                <c:pt idx="1">
                  <c:v>34.63</c:v>
                </c:pt>
                <c:pt idx="2">
                  <c:v>35.24</c:v>
                </c:pt>
                <c:pt idx="3">
                  <c:v>35.661</c:v>
                </c:pt>
                <c:pt idx="4">
                  <c:v>35.88</c:v>
                </c:pt>
                <c:pt idx="5">
                  <c:v>35.89</c:v>
                </c:pt>
                <c:pt idx="6">
                  <c:v>35.9</c:v>
                </c:pt>
                <c:pt idx="7">
                  <c:v>36.008</c:v>
                </c:pt>
                <c:pt idx="8">
                  <c:v>36.06</c:v>
                </c:pt>
                <c:pt idx="9">
                  <c:v>36.212</c:v>
                </c:pt>
                <c:pt idx="10">
                  <c:v>36.513</c:v>
                </c:pt>
                <c:pt idx="11">
                  <c:v>36.56</c:v>
                </c:pt>
                <c:pt idx="12">
                  <c:v>36.674</c:v>
                </c:pt>
                <c:pt idx="13">
                  <c:v>36.755</c:v>
                </c:pt>
                <c:pt idx="14">
                  <c:v>36.78</c:v>
                </c:pt>
                <c:pt idx="15">
                  <c:v>36.84</c:v>
                </c:pt>
                <c:pt idx="16">
                  <c:v>36.945</c:v>
                </c:pt>
                <c:pt idx="17">
                  <c:v>37.145</c:v>
                </c:pt>
                <c:pt idx="18">
                  <c:v>37.332</c:v>
                </c:pt>
                <c:pt idx="19">
                  <c:v>37.66</c:v>
                </c:pt>
                <c:pt idx="20">
                  <c:v>37.747</c:v>
                </c:pt>
                <c:pt idx="21">
                  <c:v>37.873</c:v>
                </c:pt>
                <c:pt idx="22">
                  <c:v>38.164</c:v>
                </c:pt>
                <c:pt idx="23">
                  <c:v>38.18</c:v>
                </c:pt>
                <c:pt idx="24">
                  <c:v>38.345</c:v>
                </c:pt>
                <c:pt idx="25">
                  <c:v>38.531</c:v>
                </c:pt>
                <c:pt idx="26">
                  <c:v>38.73</c:v>
                </c:pt>
                <c:pt idx="27">
                  <c:v>38.856</c:v>
                </c:pt>
                <c:pt idx="28">
                  <c:v>39.0979</c:v>
                </c:pt>
                <c:pt idx="29">
                  <c:v>39.33</c:v>
                </c:pt>
                <c:pt idx="30">
                  <c:v>39.391</c:v>
                </c:pt>
                <c:pt idx="31">
                  <c:v>39.464</c:v>
                </c:pt>
                <c:pt idx="32">
                  <c:v>39.53</c:v>
                </c:pt>
                <c:pt idx="33">
                  <c:v>39.62</c:v>
                </c:pt>
                <c:pt idx="34">
                  <c:v>39.874</c:v>
                </c:pt>
                <c:pt idx="35">
                  <c:v>40.375</c:v>
                </c:pt>
                <c:pt idx="36">
                  <c:v>40.794</c:v>
                </c:pt>
                <c:pt idx="37">
                  <c:v>41.198</c:v>
                </c:pt>
                <c:pt idx="38">
                  <c:v>42.839</c:v>
                </c:pt>
                <c:pt idx="39">
                  <c:v>45.094</c:v>
                </c:pt>
                <c:pt idx="40">
                  <c:v>45.36</c:v>
                </c:pt>
                <c:pt idx="41">
                  <c:v>62.2941</c:v>
                </c:pt>
                <c:pt idx="42">
                  <c:v>70.995</c:v>
                </c:pt>
                <c:pt idx="43">
                  <c:v>75.651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38831264"/>
        <c:axId val="-750201248"/>
      </c:scatterChart>
      <c:valAx>
        <c:axId val="-63883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Adj R- Sq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50201248"/>
        <c:crosses val="autoZero"/>
        <c:crossBetween val="midCat"/>
      </c:valAx>
      <c:valAx>
        <c:axId val="-75020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8831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Williams</dc:creator>
  <cp:keywords/>
  <dc:description/>
  <cp:lastModifiedBy>Tam Williams</cp:lastModifiedBy>
  <cp:revision>2</cp:revision>
  <dcterms:created xsi:type="dcterms:W3CDTF">2017-09-27T02:40:00Z</dcterms:created>
  <dcterms:modified xsi:type="dcterms:W3CDTF">2017-09-28T03:01:00Z</dcterms:modified>
</cp:coreProperties>
</file>