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Action Items for Major Revision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strike w:val="1"/>
        </w:rPr>
      </w:pPr>
      <w:r w:rsidDel="00000000" w:rsidR="00000000" w:rsidRPr="00000000">
        <w:rPr>
          <w:strike w:val="1"/>
          <w:rtl w:val="0"/>
        </w:rPr>
        <w:t xml:space="preserve">1. Clarify what DCCE is encoding.</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u w:val="single"/>
        </w:rPr>
      </w:pPr>
      <w:r w:rsidDel="00000000" w:rsidR="00000000" w:rsidRPr="00000000">
        <w:rPr>
          <w:b w:val="1"/>
          <w:u w:val="single"/>
          <w:rtl w:val="0"/>
        </w:rPr>
        <w:t xml:space="preserve">Definition of Calling Context by PCCE.</w:t>
      </w:r>
    </w:p>
    <w:p w:rsidR="00000000" w:rsidDel="00000000" w:rsidP="00000000" w:rsidRDefault="00000000" w:rsidRPr="00000000" w14:paraId="00000006">
      <w:pPr>
        <w:rPr>
          <w:i w:val="1"/>
        </w:rPr>
      </w:pPr>
      <w:r w:rsidDel="00000000" w:rsidR="00000000" w:rsidRPr="00000000">
        <w:rPr>
          <w:i w:val="1"/>
          <w:rtl w:val="0"/>
        </w:rPr>
        <w:t xml:space="preserve">“The calling context (CC) of a given function invocation m, is a path in the CG leading from the root node to the node representing m.”</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u w:val="single"/>
        </w:rPr>
      </w:pPr>
      <w:r w:rsidDel="00000000" w:rsidR="00000000" w:rsidRPr="00000000">
        <w:rPr>
          <w:b w:val="1"/>
          <w:u w:val="single"/>
          <w:rtl w:val="0"/>
        </w:rPr>
        <w:t xml:space="preserve">Definition of Call Path by </w:t>
      </w:r>
      <w:hyperlink r:id="rId6">
        <w:r w:rsidDel="00000000" w:rsidR="00000000" w:rsidRPr="00000000">
          <w:rPr>
            <w:b w:val="1"/>
            <w:color w:val="1155cc"/>
            <w:u w:val="single"/>
            <w:rtl w:val="0"/>
          </w:rPr>
          <w:t xml:space="preserve">Inferred Call Path Profiling</w:t>
        </w:r>
      </w:hyperlink>
      <w:r w:rsidDel="00000000" w:rsidR="00000000" w:rsidRPr="00000000">
        <w:rPr>
          <w:rtl w:val="0"/>
        </w:rPr>
      </w:r>
    </w:p>
    <w:p w:rsidR="00000000" w:rsidDel="00000000" w:rsidP="00000000" w:rsidRDefault="00000000" w:rsidRPr="00000000" w14:paraId="00000009">
      <w:pPr>
        <w:rPr>
          <w:rFonts w:ascii="Roboto" w:cs="Roboto" w:eastAsia="Roboto" w:hAnsi="Roboto"/>
          <w:i w:val="1"/>
          <w:color w:val="374151"/>
          <w:shd w:fill="f7f7f8" w:val="clear"/>
        </w:rPr>
      </w:pPr>
      <w:r w:rsidDel="00000000" w:rsidR="00000000" w:rsidRPr="00000000">
        <w:rPr>
          <w:i w:val="1"/>
          <w:rtl w:val="0"/>
        </w:rPr>
        <w:t xml:space="preserve">“Call path profiles capture the nested sequence of calls encountered at run-time”</w:t>
      </w:r>
      <w:r w:rsidDel="00000000" w:rsidR="00000000" w:rsidRPr="00000000">
        <w:rPr>
          <w:rtl w:val="0"/>
        </w:rPr>
      </w:r>
    </w:p>
    <w:p w:rsidR="00000000" w:rsidDel="00000000" w:rsidP="00000000" w:rsidRDefault="00000000" w:rsidRPr="00000000" w14:paraId="0000000A">
      <w:pPr>
        <w:rPr>
          <w:rFonts w:ascii="Roboto" w:cs="Roboto" w:eastAsia="Roboto" w:hAnsi="Roboto"/>
          <w:color w:val="374151"/>
          <w:shd w:fill="f7f7f8" w:val="clear"/>
        </w:rPr>
      </w:pPr>
      <w:r w:rsidDel="00000000" w:rsidR="00000000" w:rsidRPr="00000000">
        <w:rPr>
          <w:rtl w:val="0"/>
        </w:rPr>
      </w:r>
    </w:p>
    <w:p w:rsidR="00000000" w:rsidDel="00000000" w:rsidP="00000000" w:rsidRDefault="00000000" w:rsidRPr="00000000" w14:paraId="0000000B">
      <w:pPr>
        <w:rPr>
          <w:rFonts w:ascii="Roboto" w:cs="Roboto" w:eastAsia="Roboto" w:hAnsi="Roboto"/>
          <w:b w:val="1"/>
          <w:color w:val="374151"/>
          <w:u w:val="single"/>
          <w:shd w:fill="f7f7f8" w:val="clear"/>
        </w:rPr>
      </w:pPr>
      <w:r w:rsidDel="00000000" w:rsidR="00000000" w:rsidRPr="00000000">
        <w:rPr>
          <w:b w:val="1"/>
          <w:u w:val="single"/>
          <w:rtl w:val="0"/>
        </w:rPr>
        <w:t xml:space="preserve">Definition of Call Path by Sungkeun</w:t>
      </w:r>
      <w:r w:rsidDel="00000000" w:rsidR="00000000" w:rsidRPr="00000000">
        <w:rPr>
          <w:rtl w:val="0"/>
        </w:rPr>
      </w:r>
    </w:p>
    <w:p w:rsidR="00000000" w:rsidDel="00000000" w:rsidP="00000000" w:rsidRDefault="00000000" w:rsidRPr="00000000" w14:paraId="0000000C">
      <w:pPr>
        <w:rPr>
          <w:rFonts w:ascii="Roboto" w:cs="Roboto" w:eastAsia="Roboto" w:hAnsi="Roboto"/>
          <w:color w:val="374151"/>
          <w:shd w:fill="f7f7f8" w:val="clear"/>
        </w:rPr>
      </w:pPr>
      <w:r w:rsidDel="00000000" w:rsidR="00000000" w:rsidRPr="00000000">
        <w:rPr>
          <w:i w:val="1"/>
          <w:rtl w:val="0"/>
        </w:rPr>
        <w:t xml:space="preserve">“</w:t>
      </w:r>
      <w:r w:rsidDel="00000000" w:rsidR="00000000" w:rsidRPr="00000000">
        <w:rPr>
          <w:i w:val="1"/>
          <w:rtl w:val="0"/>
        </w:rPr>
        <w:t xml:space="preserve">A sequence of call-sites where the caller of the first call-site is the root node of a given call graph (by DCCE).”</w:t>
      </w:r>
      <w:r w:rsidDel="00000000" w:rsidR="00000000" w:rsidRPr="00000000">
        <w:rPr>
          <w:rtl w:val="0"/>
        </w:rPr>
      </w:r>
    </w:p>
    <w:p w:rsidR="00000000" w:rsidDel="00000000" w:rsidP="00000000" w:rsidRDefault="00000000" w:rsidRPr="00000000" w14:paraId="0000000D">
      <w:pPr>
        <w:rPr>
          <w:rFonts w:ascii="Roboto" w:cs="Roboto" w:eastAsia="Roboto" w:hAnsi="Roboto"/>
          <w:color w:val="374151"/>
          <w:shd w:fill="f7f7f8" w:val="clea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Based on the above definition, a set of one function’s calling context is a subset of all possible call paths of a given program (call graph). Also, sets of all functions’ calling context is equivalent to the all possible call paths of a given program.</w:t>
      </w:r>
    </w:p>
    <w:p w:rsidR="00000000" w:rsidDel="00000000" w:rsidP="00000000" w:rsidRDefault="00000000" w:rsidRPr="00000000" w14:paraId="0000000F">
      <w:pPr>
        <w:rPr>
          <w:rFonts w:ascii="Roboto" w:cs="Roboto" w:eastAsia="Roboto" w:hAnsi="Roboto"/>
          <w:color w:val="374151"/>
          <w:shd w:fill="f7f7f8" w:val="clear"/>
        </w:rPr>
      </w:pPr>
      <w:r w:rsidDel="00000000" w:rsidR="00000000" w:rsidRPr="00000000">
        <w:rPr>
          <w:rtl w:val="0"/>
        </w:rPr>
      </w:r>
    </w:p>
    <w:p w:rsidR="00000000" w:rsidDel="00000000" w:rsidP="00000000" w:rsidRDefault="00000000" w:rsidRPr="00000000" w14:paraId="00000010">
      <w:pPr>
        <w:rPr>
          <w:rFonts w:ascii="Roboto" w:cs="Roboto" w:eastAsia="Roboto" w:hAnsi="Roboto"/>
          <w:color w:val="374151"/>
          <w:shd w:fill="f7f7f8" w:val="clear"/>
        </w:rPr>
      </w:pPr>
      <w:r w:rsidDel="00000000" w:rsidR="00000000" w:rsidRPr="00000000">
        <w:rPr>
          <w:rtl w:val="0"/>
        </w:rPr>
        <w:t xml:space="preserve">I argue that DCCE is the encoding scheme of call paths rather than calling contexts.</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This is because </w:t>
      </w:r>
      <w:r w:rsidDel="00000000" w:rsidR="00000000" w:rsidRPr="00000000">
        <w:rPr>
          <w:rtl w:val="0"/>
        </w:rPr>
        <w:t xml:space="preserve">the encoding of DCCE uniquely identifies call paths. It is not wrong to argue that DCCE encodes calling contexts because the encoding of DCCE can uniquely identify calling contexts of a specific function.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Some papers use call paths and calling context interchangeably as it is not critically important for them. If they need to identify call paths but use a calling context encoding scheme, they add additional operations such as concatenation of function ID or add a dummy function call so that call paths become calling contexts.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We want to propose the following.</w:t>
      </w:r>
    </w:p>
    <w:p w:rsidR="00000000" w:rsidDel="00000000" w:rsidP="00000000" w:rsidRDefault="00000000" w:rsidRPr="00000000" w14:paraId="00000016">
      <w:pPr>
        <w:rPr/>
      </w:pPr>
      <w:r w:rsidDel="00000000" w:rsidR="00000000" w:rsidRPr="00000000">
        <w:rPr>
          <w:rtl w:val="0"/>
        </w:rPr>
        <w:t xml:space="preserve">There are clients that need to encode call paths. As using existing calling context encoding schemes or call paths profiler are inefficient for them due to either additional operations or non-consistency, DCCE is a better solution.</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rFonts w:ascii="Roboto" w:cs="Roboto" w:eastAsia="Roboto" w:hAnsi="Roboto"/>
          <w:color w:val="374151"/>
          <w:shd w:fill="f7f7f8" w:val="clea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strike w:val="1"/>
        </w:rPr>
      </w:pPr>
      <w:r w:rsidDel="00000000" w:rsidR="00000000" w:rsidRPr="00000000">
        <w:rPr>
          <w:strike w:val="1"/>
          <w:rtl w:val="0"/>
        </w:rPr>
        <w:t xml:space="preserve">1. Definition of CCID</w:t>
      </w:r>
    </w:p>
    <w:p w:rsidR="00000000" w:rsidDel="00000000" w:rsidP="00000000" w:rsidRDefault="00000000" w:rsidRPr="00000000" w14:paraId="0000001C">
      <w:pPr>
        <w:rPr/>
      </w:pPr>
      <w:r w:rsidDel="00000000" w:rsidR="00000000" w:rsidRPr="00000000">
        <w:rPr>
          <w:rtl w:val="0"/>
        </w:rPr>
        <w:t xml:space="preserve">- Need to define CCID clearly and design how to express both globally unique and consistent across runs. I use (Distinguishable) CCID to express that encoding is just globally unique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strike w:val="1"/>
        </w:rPr>
      </w:pPr>
      <w:r w:rsidDel="00000000" w:rsidR="00000000" w:rsidRPr="00000000">
        <w:rPr>
          <w:rtl w:val="0"/>
        </w:rPr>
        <w:t xml:space="preserve">2. </w:t>
      </w:r>
      <w:r w:rsidDel="00000000" w:rsidR="00000000" w:rsidRPr="00000000">
        <w:rPr>
          <w:strike w:val="1"/>
          <w:rtl w:val="0"/>
        </w:rPr>
        <w:t xml:space="preserve">New Section to discuss limitation</w:t>
      </w:r>
    </w:p>
    <w:p w:rsidR="00000000" w:rsidDel="00000000" w:rsidP="00000000" w:rsidRDefault="00000000" w:rsidRPr="00000000" w14:paraId="0000001F">
      <w:pPr>
        <w:rPr>
          <w:strike w:val="1"/>
        </w:rPr>
      </w:pPr>
      <w:r w:rsidDel="00000000" w:rsidR="00000000" w:rsidRPr="00000000">
        <w:rPr>
          <w:strike w:val="1"/>
          <w:rtl w:val="0"/>
        </w:rPr>
        <w:t xml:space="preserve">- CCID Overflow and scalability</w:t>
      </w:r>
    </w:p>
    <w:p w:rsidR="00000000" w:rsidDel="00000000" w:rsidP="00000000" w:rsidRDefault="00000000" w:rsidRPr="00000000" w14:paraId="00000020">
      <w:pPr>
        <w:rPr>
          <w:strike w:val="1"/>
        </w:rPr>
      </w:pPr>
      <w:r w:rsidDel="00000000" w:rsidR="00000000" w:rsidRPr="00000000">
        <w:rPr>
          <w:strike w:val="1"/>
          <w:rtl w:val="0"/>
        </w:rPr>
        <w:t xml:space="preserve">- Dynamically linked library, indirect call</w:t>
      </w:r>
    </w:p>
    <w:p w:rsidR="00000000" w:rsidDel="00000000" w:rsidP="00000000" w:rsidRDefault="00000000" w:rsidRPr="00000000" w14:paraId="00000021">
      <w:pPr>
        <w:rPr>
          <w:strike w:val="1"/>
        </w:rPr>
      </w:pPr>
      <w:r w:rsidDel="00000000" w:rsidR="00000000" w:rsidRPr="00000000">
        <w:rPr>
          <w:strike w:val="1"/>
          <w:rtl w:val="0"/>
        </w:rPr>
        <w:t xml:space="preserve">- Callback function (necessary?)</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strike w:val="1"/>
        </w:rPr>
      </w:pPr>
      <w:r w:rsidDel="00000000" w:rsidR="00000000" w:rsidRPr="00000000">
        <w:rPr>
          <w:strike w:val="1"/>
          <w:rtl w:val="0"/>
        </w:rPr>
        <w:t xml:space="preserve">3. Compact Background Section</w:t>
      </w:r>
    </w:p>
    <w:p w:rsidR="00000000" w:rsidDel="00000000" w:rsidP="00000000" w:rsidRDefault="00000000" w:rsidRPr="00000000" w14:paraId="00000024">
      <w:pPr>
        <w:rPr/>
      </w:pPr>
      <w:r w:rsidDel="00000000" w:rsidR="00000000" w:rsidRPr="00000000">
        <w:rPr>
          <w:rtl w:val="0"/>
        </w:rPr>
        <w:t xml:space="preserve">- Try to make it a bit compact (Reviewer-A)</w:t>
      </w:r>
    </w:p>
    <w:p w:rsidR="00000000" w:rsidDel="00000000" w:rsidP="00000000" w:rsidRDefault="00000000" w:rsidRPr="00000000" w14:paraId="00000025">
      <w:pPr>
        <w:rPr/>
      </w:pPr>
      <w:r w:rsidDel="00000000" w:rsidR="00000000" w:rsidRPr="00000000">
        <w:rPr>
          <w:rtl w:val="0"/>
        </w:rPr>
        <w:t xml:space="preserve">- Explain why not using PCCE as is for Barrier elision because it has one leaf node to profile and contextual dispatch does not need encoding (Reviewer-C).</w:t>
      </w:r>
    </w:p>
    <w:p w:rsidR="00000000" w:rsidDel="00000000" w:rsidP="00000000" w:rsidRDefault="00000000" w:rsidRPr="00000000" w14:paraId="00000026">
      <w:pPr>
        <w:rPr/>
      </w:pPr>
      <w:r w:rsidDel="00000000" w:rsidR="00000000" w:rsidRPr="00000000">
        <w:rPr>
          <w:rtl w:val="0"/>
        </w:rPr>
        <w:t xml:space="preserve">- Check the paper “Learning-based Memory Allocation for C++ Server Workloads” to see if DCCE is applicable to it (Reviewer-D).</w:t>
      </w:r>
    </w:p>
    <w:p w:rsidR="00000000" w:rsidDel="00000000" w:rsidP="00000000" w:rsidRDefault="00000000" w:rsidRPr="00000000" w14:paraId="00000027">
      <w:pPr>
        <w:rPr/>
      </w:pPr>
      <w:r w:rsidDel="00000000" w:rsidR="00000000" w:rsidRPr="00000000">
        <w:rPr>
          <w:rtl w:val="0"/>
        </w:rPr>
        <w:t xml:space="preserve">- Consider replacing Contextual dispatch with the above paper.</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strike w:val="1"/>
        </w:rPr>
      </w:pPr>
      <w:r w:rsidDel="00000000" w:rsidR="00000000" w:rsidRPr="00000000">
        <w:rPr>
          <w:strike w:val="1"/>
          <w:rtl w:val="0"/>
        </w:rPr>
        <w:t xml:space="preserve">4. Description of PCCE</w:t>
      </w:r>
    </w:p>
    <w:p w:rsidR="00000000" w:rsidDel="00000000" w:rsidP="00000000" w:rsidRDefault="00000000" w:rsidRPr="00000000" w14:paraId="0000002A">
      <w:pPr>
        <w:rPr>
          <w:strike w:val="1"/>
        </w:rPr>
      </w:pPr>
      <w:r w:rsidDel="00000000" w:rsidR="00000000" w:rsidRPr="00000000">
        <w:rPr>
          <w:strike w:val="1"/>
          <w:rtl w:val="0"/>
        </w:rPr>
        <w:t xml:space="preserve">- Check how PCCE’s optimized encoding (using stack) is related to DCCE (I thought it wasn’t but reviewer-D claimed it). </w:t>
      </w:r>
    </w:p>
    <w:p w:rsidR="00000000" w:rsidDel="00000000" w:rsidP="00000000" w:rsidRDefault="00000000" w:rsidRPr="00000000" w14:paraId="0000002B">
      <w:pPr>
        <w:rPr>
          <w:strike w:val="1"/>
        </w:rPr>
      </w:pPr>
      <w:r w:rsidDel="00000000" w:rsidR="00000000" w:rsidRPr="00000000">
        <w:rPr>
          <w:strike w:val="1"/>
          <w:rtl w:val="0"/>
        </w:rPr>
        <w:t xml:space="preserve">- Clarify what PC we concatenate (Reviewer-D).</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5. Evaluation Section</w:t>
      </w:r>
    </w:p>
    <w:p w:rsidR="00000000" w:rsidDel="00000000" w:rsidP="00000000" w:rsidRDefault="00000000" w:rsidRPr="00000000" w14:paraId="0000002E">
      <w:pPr>
        <w:rPr/>
      </w:pPr>
      <w:r w:rsidDel="00000000" w:rsidR="00000000" w:rsidRPr="00000000">
        <w:rPr>
          <w:rtl w:val="0"/>
        </w:rPr>
        <w:t xml:space="preserve">- Provide more detail in “Impact of calling context encoding on WHISTLE” (Reviewer-D)</w:t>
      </w:r>
    </w:p>
    <w:p w:rsidR="00000000" w:rsidDel="00000000" w:rsidP="00000000" w:rsidRDefault="00000000" w:rsidRPr="00000000" w14:paraId="0000002F">
      <w:pPr>
        <w:rPr>
          <w:strike w:val="1"/>
        </w:rPr>
      </w:pPr>
      <w:r w:rsidDel="00000000" w:rsidR="00000000" w:rsidRPr="00000000">
        <w:rPr>
          <w:strike w:val="1"/>
          <w:rtl w:val="0"/>
        </w:rPr>
        <w:t xml:space="preserve">- Think about a practical idea to make PCCE globally unique instead of using a PC (like using offset of binary base) (Reviewer-D). If it is changed, consider changing it to other sections menting concatenation of the PC.</w:t>
      </w:r>
    </w:p>
    <w:p w:rsidR="00000000" w:rsidDel="00000000" w:rsidP="00000000" w:rsidRDefault="00000000" w:rsidRPr="00000000" w14:paraId="00000030">
      <w:pPr>
        <w:rPr>
          <w:strike w:val="1"/>
        </w:rPr>
      </w:pPr>
      <w:r w:rsidDel="00000000" w:rsidR="00000000" w:rsidRPr="00000000">
        <w:rPr>
          <w:strike w:val="1"/>
          <w:rtl w:val="0"/>
        </w:rPr>
        <w:t xml:space="preserve">- Regenerate Figure 7 and 8</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6. More experiment or data</w:t>
      </w:r>
    </w:p>
    <w:p w:rsidR="00000000" w:rsidDel="00000000" w:rsidP="00000000" w:rsidRDefault="00000000" w:rsidRPr="00000000" w14:paraId="00000033">
      <w:pPr>
        <w:rPr/>
      </w:pPr>
      <w:r w:rsidDel="00000000" w:rsidR="00000000" w:rsidRPr="00000000">
        <w:rPr>
          <w:rtl w:val="0"/>
        </w:rPr>
        <w:t xml:space="preserve">- Replace Table II with new one generated during CGO rebuttal</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7. Implementation Section</w:t>
      </w:r>
    </w:p>
    <w:p w:rsidR="00000000" w:rsidDel="00000000" w:rsidP="00000000" w:rsidRDefault="00000000" w:rsidRPr="00000000" w14:paraId="00000036">
      <w:pPr>
        <w:rPr>
          <w:strike w:val="1"/>
        </w:rPr>
      </w:pPr>
      <w:r w:rsidDel="00000000" w:rsidR="00000000" w:rsidRPr="00000000">
        <w:rPr>
          <w:strike w:val="1"/>
          <w:rtl w:val="0"/>
        </w:rPr>
        <w:t xml:space="preserve">- Reviewer-D said LTO seems to be necessary for our work. Revise this part (refer to my comment on the review </w:t>
      </w:r>
      <w:hyperlink r:id="rId7">
        <w:r w:rsidDel="00000000" w:rsidR="00000000" w:rsidRPr="00000000">
          <w:rPr>
            <w:strike w:val="1"/>
            <w:color w:val="1155cc"/>
            <w:u w:val="single"/>
            <w:rtl w:val="0"/>
          </w:rPr>
          <w:t xml:space="preserve">document</w:t>
        </w:r>
      </w:hyperlink>
      <w:r w:rsidDel="00000000" w:rsidR="00000000" w:rsidRPr="00000000">
        <w:rPr>
          <w:strike w:val="1"/>
          <w:rtl w:val="0"/>
        </w:rPr>
        <w:t xml:space="preserve">. </w:t>
      </w:r>
    </w:p>
    <w:p w:rsidR="00000000" w:rsidDel="00000000" w:rsidP="00000000" w:rsidRDefault="00000000" w:rsidRPr="00000000" w14:paraId="00000037">
      <w:pPr>
        <w:rPr>
          <w:strike w:val="1"/>
        </w:rPr>
      </w:pPr>
      <w:r w:rsidDel="00000000" w:rsidR="00000000" w:rsidRPr="00000000">
        <w:rPr>
          <w:strike w:val="1"/>
          <w:rtl w:val="0"/>
        </w:rPr>
        <w:t xml:space="preserve">- Mention that we are using WPA of SVF (Reviewer-D)</w:t>
      </w:r>
    </w:p>
    <w:p w:rsidR="00000000" w:rsidDel="00000000" w:rsidP="00000000" w:rsidRDefault="00000000" w:rsidRPr="00000000" w14:paraId="00000038">
      <w:pPr>
        <w:rPr>
          <w:strike w:val="1"/>
        </w:rPr>
      </w:pPr>
      <w:r w:rsidDel="00000000" w:rsidR="00000000" w:rsidRPr="00000000">
        <w:rPr>
          <w:strike w:val="1"/>
          <w:rtl w:val="0"/>
        </w:rPr>
        <w:t xml:space="preserve">- Mention how to instrument multi-threaded program (using TLS)</w:t>
      </w:r>
    </w:p>
    <w:p w:rsidR="00000000" w:rsidDel="00000000" w:rsidP="00000000" w:rsidRDefault="00000000" w:rsidRPr="00000000" w14:paraId="00000039">
      <w:pPr>
        <w:rPr>
          <w:strike w:val="1"/>
        </w:rPr>
      </w:pPr>
      <w:r w:rsidDel="00000000" w:rsidR="00000000" w:rsidRPr="00000000">
        <w:rPr>
          <w:strike w:val="1"/>
          <w:rtl w:val="0"/>
        </w:rPr>
        <w:t xml:space="preserve">- Mention why we use anderson-style point-to-analysis</w:t>
      </w:r>
    </w:p>
    <w:p w:rsidR="00000000" w:rsidDel="00000000" w:rsidP="00000000" w:rsidRDefault="00000000" w:rsidRPr="00000000" w14:paraId="0000003A">
      <w:pPr>
        <w:rPr>
          <w:strike w:val="1"/>
        </w:rPr>
      </w:pPr>
      <w:r w:rsidDel="00000000" w:rsidR="00000000" w:rsidRPr="00000000">
        <w:rPr>
          <w:strike w:val="1"/>
          <w:rtl w:val="0"/>
        </w:rPr>
        <w:t xml:space="preserve">- Mention another way to propagate LLVM attribute to backend</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strike w:val="1"/>
        </w:rPr>
      </w:pPr>
      <w:r w:rsidDel="00000000" w:rsidR="00000000" w:rsidRPr="00000000">
        <w:rPr>
          <w:strike w:val="1"/>
          <w:rtl w:val="0"/>
        </w:rPr>
        <w:t xml:space="preserve">8. Handling Recursive Call Section</w:t>
      </w:r>
    </w:p>
    <w:p w:rsidR="00000000" w:rsidDel="00000000" w:rsidP="00000000" w:rsidRDefault="00000000" w:rsidRPr="00000000" w14:paraId="0000003D">
      <w:pPr>
        <w:rPr>
          <w:strike w:val="1"/>
        </w:rPr>
      </w:pPr>
      <w:r w:rsidDel="00000000" w:rsidR="00000000" w:rsidRPr="00000000">
        <w:rPr>
          <w:strike w:val="1"/>
          <w:rtl w:val="0"/>
        </w:rPr>
        <w:t xml:space="preserve">- Describe more details about the difference between DCCE and others.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4"/>
        <w:szCs w:val="24"/>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l.acm.org/doi/pdf/10.1145/1639949.1640102" TargetMode="External"/><Relationship Id="rId7" Type="http://schemas.openxmlformats.org/officeDocument/2006/relationships/hyperlink" Target="https://docs.google.com/document/d/1P7DvTPEaQgA4n_qlK-7D_01uBij_Pxz9xP4OdmeusTY/edi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