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955B0" w14:textId="77777777" w:rsidR="002A24D2" w:rsidRDefault="004E72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="009A6CA3" w:rsidRPr="00C91964">
        <w:rPr>
          <w:rFonts w:hint="eastAsia"/>
          <w:sz w:val="36"/>
          <w:szCs w:val="36"/>
        </w:rPr>
        <w:t>微分フィルタ</w:t>
      </w:r>
    </w:p>
    <w:p w14:paraId="1149056D" w14:textId="77777777" w:rsidR="007F6029" w:rsidRPr="004E727E" w:rsidRDefault="004E72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.1 </w:t>
      </w:r>
      <w:r w:rsidR="007F6029" w:rsidRPr="004E727E">
        <w:rPr>
          <w:rFonts w:hint="eastAsia"/>
          <w:sz w:val="28"/>
          <w:szCs w:val="28"/>
        </w:rPr>
        <w:t>一次微分フィルタ</w:t>
      </w:r>
    </w:p>
    <w:p w14:paraId="3961DAD3" w14:textId="77777777" w:rsidR="00C91964" w:rsidRDefault="00EE59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rewitt</w:t>
      </w:r>
      <w:r w:rsidR="00C91964" w:rsidRPr="00C91964">
        <w:rPr>
          <w:rFonts w:hint="eastAsia"/>
          <w:sz w:val="28"/>
          <w:szCs w:val="28"/>
        </w:rPr>
        <w:t>のオペレータ</w:t>
      </w:r>
    </w:p>
    <w:p w14:paraId="7A149B47" w14:textId="77777777" w:rsidR="004639D3" w:rsidRPr="004639D3" w:rsidRDefault="00EE59A1" w:rsidP="004639D3">
      <w:pPr>
        <w:rPr>
          <w:i/>
          <w:sz w:val="22"/>
          <w:szCs w:val="22"/>
        </w:rPr>
      </w:pPr>
      <w:bookmarkStart w:id="0" w:name="OLE_LINK1"/>
      <w:bookmarkStart w:id="1" w:name="OLE_LINK2"/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    (2.1)</m:t>
          </m:r>
        </m:oMath>
      </m:oMathPara>
      <w:bookmarkEnd w:id="0"/>
      <w:bookmarkEnd w:id="1"/>
    </w:p>
    <w:p w14:paraId="0395EFB4" w14:textId="77777777" w:rsidR="00D83A3D" w:rsidRPr="00C86CFB" w:rsidRDefault="00D83A3D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をそれぞれ重み</w:t>
      </w:r>
      <w:r w:rsidR="00B352FF" w:rsidRPr="00C86CFB">
        <w:rPr>
          <w:rFonts w:hint="eastAsia"/>
          <w:iCs/>
          <w:sz w:val="22"/>
          <w:szCs w:val="22"/>
        </w:rPr>
        <w:t>係数</w:t>
      </w:r>
      <w:r w:rsidR="007F6029" w:rsidRPr="00C86CFB">
        <w:rPr>
          <w:rFonts w:hint="eastAsia"/>
          <w:iCs/>
          <w:sz w:val="22"/>
          <w:szCs w:val="22"/>
        </w:rPr>
        <w:t>行列</w:t>
      </w:r>
      <w:r w:rsidRPr="00C86CFB">
        <w:rPr>
          <w:rFonts w:hint="eastAsia"/>
          <w:iCs/>
          <w:sz w:val="22"/>
          <w:szCs w:val="22"/>
        </w:rPr>
        <w:t>として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sz w:val="22"/>
          <w:szCs w:val="22"/>
        </w:rPr>
        <w:t>，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iCs/>
          <w:sz w:val="22"/>
          <w:szCs w:val="22"/>
        </w:rPr>
        <w:t>ともに一次微分処理を行う。</w:t>
      </w:r>
    </w:p>
    <w:p w14:paraId="2A197813" w14:textId="77777777" w:rsidR="007F6029" w:rsidRPr="00C86CFB" w:rsidRDefault="007F6029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画素値は</w:t>
      </w:r>
      <w:r w:rsidRPr="00C86CFB">
        <w:rPr>
          <w:iCs/>
          <w:sz w:val="22"/>
          <w:szCs w:val="22"/>
        </w:rPr>
        <w:t>gradient</w:t>
      </w:r>
      <w:r w:rsidRPr="00C86CFB">
        <w:rPr>
          <w:rFonts w:hint="eastAsia"/>
          <w:iCs/>
          <w:sz w:val="22"/>
          <w:szCs w:val="22"/>
        </w:rPr>
        <w:t>の強度</w:t>
      </w:r>
    </w:p>
    <w:p w14:paraId="2E2046C6" w14:textId="77777777" w:rsidR="004E727E" w:rsidRPr="00C86CFB" w:rsidRDefault="004639D3">
      <w:pPr>
        <w:rPr>
          <w:rFonts w:hint="eastAsia"/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                                              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∇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i,j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  </m:t>
              </m:r>
            </m:e>
          </m:rad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                          (2.2)</m:t>
          </m:r>
        </m:oMath>
      </m:oMathPara>
    </w:p>
    <w:p w14:paraId="2747D38D" w14:textId="77777777" w:rsidR="007F6029" w:rsidRPr="00C86CFB" w:rsidRDefault="007F6029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とする。</w:t>
      </w:r>
    </w:p>
    <w:p w14:paraId="098B95DA" w14:textId="77777777" w:rsidR="007F6029" w:rsidRPr="00C86CFB" w:rsidRDefault="00F87588">
      <w:pPr>
        <w:rPr>
          <w:iCs/>
          <w:szCs w:val="21"/>
        </w:rPr>
      </w:pPr>
      <w:r>
        <w:rPr>
          <w:rFonts w:hint="eastAsia"/>
          <w:iCs/>
          <w:sz w:val="22"/>
          <w:szCs w:val="22"/>
        </w:rPr>
        <w:t>図2.1に元画像，図2.2に</w:t>
      </w:r>
      <w:r>
        <w:rPr>
          <w:iCs/>
          <w:sz w:val="22"/>
          <w:szCs w:val="22"/>
        </w:rPr>
        <w:t>Prewitt</w:t>
      </w:r>
      <w:r>
        <w:rPr>
          <w:rFonts w:hint="eastAsia"/>
          <w:iCs/>
          <w:sz w:val="22"/>
          <w:szCs w:val="22"/>
        </w:rPr>
        <w:t>のオペレータを使用して処理した画像を示す。</w:t>
      </w:r>
    </w:p>
    <w:p w14:paraId="4B008690" w14:textId="77777777" w:rsidR="004E727E" w:rsidRDefault="0022262E" w:rsidP="00C86CFB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DC23AB" wp14:editId="75510367">
            <wp:simplePos x="0" y="0"/>
            <wp:positionH relativeFrom="column">
              <wp:posOffset>3068955</wp:posOffset>
            </wp:positionH>
            <wp:positionV relativeFrom="paragraph">
              <wp:posOffset>113030</wp:posOffset>
            </wp:positionV>
            <wp:extent cx="2290445" cy="229044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_sob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097">
        <w:rPr>
          <w:iCs/>
          <w:noProof/>
          <w:sz w:val="28"/>
          <w:szCs w:val="28"/>
        </w:rPr>
        <w:drawing>
          <wp:inline distT="0" distB="0" distL="0" distR="0" wp14:anchorId="3FFC6DAC" wp14:editId="52083594">
            <wp:extent cx="2290445" cy="22904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2F41" w14:textId="77777777" w:rsidR="00C86CFB" w:rsidRDefault="00C86CFB" w:rsidP="00C86CFB">
      <w:pPr>
        <w:ind w:firstLineChars="500" w:firstLine="1050"/>
        <w:rPr>
          <w:iCs/>
          <w:szCs w:val="21"/>
        </w:rPr>
      </w:pPr>
      <w:r>
        <w:rPr>
          <w:rFonts w:hint="eastAsia"/>
          <w:iCs/>
          <w:szCs w:val="21"/>
        </w:rPr>
        <w:t>図</w:t>
      </w:r>
      <w:r>
        <w:rPr>
          <w:iCs/>
          <w:szCs w:val="21"/>
        </w:rPr>
        <w:t xml:space="preserve">2.1 </w:t>
      </w:r>
      <w:r>
        <w:rPr>
          <w:rFonts w:hint="eastAsia"/>
          <w:iCs/>
          <w:szCs w:val="21"/>
        </w:rPr>
        <w:t>元画像　　　　　　　　　　　　　　　図2.2</w:t>
      </w:r>
      <w:r>
        <w:rPr>
          <w:iCs/>
          <w:szCs w:val="21"/>
        </w:rPr>
        <w:t xml:space="preserve"> </w:t>
      </w:r>
      <w:r>
        <w:rPr>
          <w:rFonts w:hint="eastAsia"/>
          <w:iCs/>
          <w:szCs w:val="21"/>
        </w:rPr>
        <w:t>処理後の画像</w:t>
      </w:r>
    </w:p>
    <w:p w14:paraId="561CD4DC" w14:textId="77777777" w:rsidR="0053538A" w:rsidRDefault="0053538A" w:rsidP="0053538A">
      <w:pPr>
        <w:rPr>
          <w:iCs/>
          <w:szCs w:val="21"/>
        </w:rPr>
      </w:pPr>
    </w:p>
    <w:p w14:paraId="2B1EECB1" w14:textId="77777777" w:rsidR="00C86CFB" w:rsidRDefault="0053538A" w:rsidP="00C86CFB">
      <w:pPr>
        <w:rPr>
          <w:iCs/>
          <w:szCs w:val="21"/>
        </w:rPr>
      </w:pPr>
      <w:r>
        <w:rPr>
          <w:rFonts w:hint="eastAsia"/>
          <w:iCs/>
          <w:szCs w:val="21"/>
        </w:rPr>
        <w:t>帽子のつばのあたりを拡大すると、</w:t>
      </w:r>
    </w:p>
    <w:p w14:paraId="5C6B03F0" w14:textId="77777777" w:rsidR="00F87588" w:rsidRDefault="00F87588" w:rsidP="00C86CFB">
      <w:pPr>
        <w:rPr>
          <w:iCs/>
          <w:szCs w:val="21"/>
        </w:rPr>
      </w:pPr>
    </w:p>
    <w:p w14:paraId="1082EC87" w14:textId="77777777" w:rsidR="00F87588" w:rsidRDefault="0056653F" w:rsidP="00C86CFB">
      <w:pPr>
        <w:rPr>
          <w:iCs/>
          <w:szCs w:val="21"/>
        </w:rPr>
      </w:pPr>
      <w:commentRangeStart w:id="2"/>
      <w:r>
        <w:rPr>
          <w:iCs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33D5E091" wp14:editId="2F14DD2D">
            <wp:simplePos x="0" y="0"/>
            <wp:positionH relativeFrom="column">
              <wp:posOffset>3137535</wp:posOffset>
            </wp:positionH>
            <wp:positionV relativeFrom="paragraph">
              <wp:posOffset>106045</wp:posOffset>
            </wp:positionV>
            <wp:extent cx="2300605" cy="2300605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w_cut.pg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F0438F">
        <w:rPr>
          <w:rStyle w:val="a6"/>
        </w:rPr>
        <w:commentReference w:id="2"/>
      </w:r>
      <w:r w:rsidR="0053538A">
        <w:rPr>
          <w:iCs/>
          <w:noProof/>
          <w:szCs w:val="21"/>
        </w:rPr>
        <w:drawing>
          <wp:inline distT="0" distB="0" distL="0" distR="0" wp14:anchorId="0254D5AD" wp14:editId="0B96090C">
            <wp:extent cx="2300605" cy="230060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.ascii_cut.pg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28" cy="23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9E75" w14:textId="77777777" w:rsidR="00F87588" w:rsidRDefault="0056653F" w:rsidP="0056653F">
      <w:pPr>
        <w:ind w:firstLineChars="300" w:firstLine="630"/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図2.3</w:t>
      </w:r>
      <w:r>
        <w:rPr>
          <w:iCs/>
          <w:szCs w:val="21"/>
        </w:rPr>
        <w:t xml:space="preserve">                                          </w:t>
      </w:r>
      <w:r>
        <w:rPr>
          <w:rFonts w:hint="eastAsia"/>
          <w:iCs/>
          <w:szCs w:val="21"/>
        </w:rPr>
        <w:t>図2.4</w:t>
      </w:r>
    </w:p>
    <w:p w14:paraId="0AA3B6D0" w14:textId="77777777" w:rsidR="00F87588" w:rsidRDefault="00F87588" w:rsidP="00C86CFB">
      <w:pPr>
        <w:rPr>
          <w:iCs/>
          <w:szCs w:val="21"/>
        </w:rPr>
      </w:pPr>
    </w:p>
    <w:p w14:paraId="45A907E7" w14:textId="77777777" w:rsidR="0056653F" w:rsidRDefault="0056653F" w:rsidP="00C86CFB">
      <w:pPr>
        <w:rPr>
          <w:iCs/>
          <w:szCs w:val="21"/>
        </w:rPr>
      </w:pPr>
      <w:commentRangeStart w:id="3"/>
      <w:r>
        <w:rPr>
          <w:rFonts w:hint="eastAsia"/>
          <w:iCs/>
          <w:szCs w:val="21"/>
        </w:rPr>
        <w:t>色の移り変わりが激しい部分が強調されていることがわかる。</w:t>
      </w:r>
      <w:commentRangeEnd w:id="3"/>
      <w:r w:rsidR="00F0438F">
        <w:rPr>
          <w:rStyle w:val="a6"/>
        </w:rPr>
        <w:commentReference w:id="3"/>
      </w:r>
    </w:p>
    <w:p w14:paraId="00A1078E" w14:textId="77777777" w:rsidR="00453540" w:rsidRDefault="00453540" w:rsidP="00C86CFB">
      <w:pPr>
        <w:rPr>
          <w:rFonts w:hint="eastAsia"/>
          <w:iCs/>
          <w:szCs w:val="21"/>
        </w:rPr>
      </w:pPr>
    </w:p>
    <w:p w14:paraId="3CAB95DF" w14:textId="77777777" w:rsidR="0056653F" w:rsidRDefault="0056653F">
      <w:pPr>
        <w:widowControl/>
        <w:jc w:val="left"/>
        <w:rPr>
          <w:iCs/>
          <w:szCs w:val="21"/>
        </w:rPr>
      </w:pPr>
      <w:r>
        <w:rPr>
          <w:iCs/>
          <w:szCs w:val="21"/>
        </w:rPr>
        <w:br w:type="page"/>
      </w:r>
    </w:p>
    <w:p w14:paraId="1DA16A33" w14:textId="77777777" w:rsidR="0056653F" w:rsidRPr="00453540" w:rsidRDefault="00453540" w:rsidP="00C86CFB">
      <w:pPr>
        <w:rPr>
          <w:rFonts w:hint="eastAsia"/>
          <w:iCs/>
          <w:sz w:val="28"/>
          <w:szCs w:val="28"/>
        </w:rPr>
      </w:pPr>
      <w:r w:rsidRPr="00453540">
        <w:rPr>
          <w:iCs/>
          <w:sz w:val="28"/>
          <w:szCs w:val="28"/>
        </w:rPr>
        <w:lastRenderedPageBreak/>
        <w:t>Sobel</w:t>
      </w:r>
      <w:r w:rsidRPr="00453540">
        <w:rPr>
          <w:rFonts w:hint="eastAsia"/>
          <w:iCs/>
          <w:sz w:val="28"/>
          <w:szCs w:val="28"/>
        </w:rPr>
        <w:t>のオペレータ</w:t>
      </w:r>
    </w:p>
    <w:p w14:paraId="5473F1D4" w14:textId="77777777" w:rsidR="006416A3" w:rsidRPr="006416A3" w:rsidRDefault="006416A3" w:rsidP="00453540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    (2.</m:t>
          </m:r>
          <m:r>
            <w:rPr>
              <w:rFonts w:ascii="Cambria Math" w:hAnsi="Cambria Math"/>
              <w:sz w:val="22"/>
              <w:szCs w:val="22"/>
            </w:rPr>
            <m:t>3</m:t>
          </m:r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7F1140E8" w14:textId="77777777" w:rsidR="00453540" w:rsidRPr="00C86CFB" w:rsidRDefault="00453540" w:rsidP="00453540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をそれぞれ重み係数行列として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Pr="00C86CFB">
        <w:rPr>
          <w:rFonts w:hint="eastAsia"/>
          <w:sz w:val="22"/>
          <w:szCs w:val="22"/>
        </w:rPr>
        <w:t>，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Pr="00C86CFB">
        <w:rPr>
          <w:rFonts w:hint="eastAsia"/>
          <w:iCs/>
          <w:sz w:val="22"/>
          <w:szCs w:val="22"/>
        </w:rPr>
        <w:t>ともに一次微分処理を行う。</w:t>
      </w:r>
    </w:p>
    <w:p w14:paraId="53F3FDE4" w14:textId="77777777" w:rsidR="00453540" w:rsidRPr="00C86CFB" w:rsidRDefault="00453540" w:rsidP="00453540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画素値は</w:t>
      </w:r>
      <w:r w:rsidRPr="00C86CFB">
        <w:rPr>
          <w:iCs/>
          <w:sz w:val="22"/>
          <w:szCs w:val="22"/>
        </w:rPr>
        <w:t>gradient</w:t>
      </w:r>
      <w:r w:rsidRPr="00C86CFB">
        <w:rPr>
          <w:rFonts w:hint="eastAsia"/>
          <w:iCs/>
          <w:sz w:val="22"/>
          <w:szCs w:val="22"/>
        </w:rPr>
        <w:t>の</w:t>
      </w:r>
      <w:r w:rsidR="004639D3">
        <w:rPr>
          <w:rFonts w:hint="eastAsia"/>
          <w:iCs/>
          <w:sz w:val="22"/>
          <w:szCs w:val="22"/>
        </w:rPr>
        <w:t>強度</w:t>
      </w:r>
      <w:r w:rsidR="006416A3">
        <w:rPr>
          <w:iCs/>
          <w:sz w:val="22"/>
          <w:szCs w:val="22"/>
        </w:rPr>
        <w:t>(</w:t>
      </w:r>
      <w:r w:rsidR="004639D3">
        <w:rPr>
          <w:rFonts w:hint="eastAsia"/>
          <w:iCs/>
          <w:sz w:val="22"/>
          <w:szCs w:val="22"/>
        </w:rPr>
        <w:t>(</w:t>
      </w:r>
      <w:r w:rsidR="006416A3">
        <w:rPr>
          <w:iCs/>
          <w:sz w:val="22"/>
          <w:szCs w:val="22"/>
        </w:rPr>
        <w:t>2.2</w:t>
      </w:r>
      <w:r w:rsidR="004639D3">
        <w:rPr>
          <w:rFonts w:hint="eastAsia"/>
          <w:iCs/>
          <w:sz w:val="22"/>
          <w:szCs w:val="22"/>
        </w:rPr>
        <w:t>)</w:t>
      </w:r>
      <w:r w:rsidR="006416A3">
        <w:rPr>
          <w:rFonts w:hint="eastAsia"/>
          <w:iCs/>
          <w:sz w:val="22"/>
          <w:szCs w:val="22"/>
        </w:rPr>
        <w:t>式)</w:t>
      </w:r>
      <w:r w:rsidR="004639D3">
        <w:rPr>
          <w:rFonts w:hint="eastAsia"/>
          <w:iCs/>
          <w:sz w:val="22"/>
          <w:szCs w:val="22"/>
        </w:rPr>
        <w:t>とする。</w:t>
      </w:r>
    </w:p>
    <w:p w14:paraId="525FE62C" w14:textId="77777777" w:rsidR="00F87588" w:rsidRDefault="00F87588" w:rsidP="00C86CFB">
      <w:pPr>
        <w:rPr>
          <w:iCs/>
          <w:szCs w:val="21"/>
        </w:rPr>
      </w:pPr>
      <w:bookmarkStart w:id="4" w:name="_GoBack"/>
      <w:bookmarkEnd w:id="4"/>
    </w:p>
    <w:p w14:paraId="440E17BA" w14:textId="77777777" w:rsidR="00F87588" w:rsidRPr="004639D3" w:rsidRDefault="00F87588" w:rsidP="00C86CFB">
      <w:pPr>
        <w:rPr>
          <w:iCs/>
          <w:szCs w:val="21"/>
        </w:rPr>
      </w:pPr>
    </w:p>
    <w:p w14:paraId="6BB10A11" w14:textId="77777777" w:rsidR="00F87588" w:rsidRPr="00C86CFB" w:rsidRDefault="00F87588" w:rsidP="00C86CFB">
      <w:pPr>
        <w:rPr>
          <w:iCs/>
          <w:szCs w:val="21"/>
        </w:rPr>
      </w:pPr>
    </w:p>
    <w:sectPr w:rsidR="00F87588" w:rsidRPr="00C86CFB" w:rsidSect="0085733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1600728@sendai.kosen-ac.jp" w:date="2019-06-14T12:13:00Z" w:initials="s">
    <w:p w14:paraId="4E75D5E9" w14:textId="77777777" w:rsidR="00F0438F" w:rsidRDefault="00F0438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あとでちゃんと元画像からトリミングしたものを貼る</w:t>
      </w:r>
    </w:p>
  </w:comment>
  <w:comment w:id="3" w:author="s1600728@sendai.kosen-ac.jp" w:date="2019-06-14T12:14:00Z" w:initials="s">
    <w:p w14:paraId="199C2393" w14:textId="77777777" w:rsidR="00F0438F" w:rsidRDefault="00F0438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画素値とかグラフとか使った説明をあとで入れる。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75D5E9" w15:done="0"/>
  <w15:commentEx w15:paraId="199C23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5D5E9" w16cid:durableId="20AE0DCD"/>
  <w16cid:commentId w16cid:paraId="199C2393" w16cid:durableId="20AE0E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1600728@sendai.kosen-ac.jp">
    <w15:presenceInfo w15:providerId="AD" w15:userId="S::s1600728@sendai.kosen-ac.jp::50752a56-c0b5-4940-aced-ee5ac7d514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3"/>
    <w:rsid w:val="00155869"/>
    <w:rsid w:val="0022262E"/>
    <w:rsid w:val="002A24D2"/>
    <w:rsid w:val="00386D2E"/>
    <w:rsid w:val="00453540"/>
    <w:rsid w:val="004639D3"/>
    <w:rsid w:val="004B5184"/>
    <w:rsid w:val="004E1E86"/>
    <w:rsid w:val="004E727E"/>
    <w:rsid w:val="0053538A"/>
    <w:rsid w:val="0056653F"/>
    <w:rsid w:val="006416A3"/>
    <w:rsid w:val="007F6029"/>
    <w:rsid w:val="00857333"/>
    <w:rsid w:val="009A6CA3"/>
    <w:rsid w:val="00B352FF"/>
    <w:rsid w:val="00B36097"/>
    <w:rsid w:val="00C86CFB"/>
    <w:rsid w:val="00C91964"/>
    <w:rsid w:val="00D83A3D"/>
    <w:rsid w:val="00EA2D8E"/>
    <w:rsid w:val="00EE59A1"/>
    <w:rsid w:val="00F0438F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B830EB"/>
  <w15:chartTrackingRefBased/>
  <w15:docId w15:val="{34E2D0A4-8D21-C649-A99A-00D0B37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1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6097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36097"/>
    <w:rPr>
      <w:rFonts w:ascii="ＭＳ 明朝" w:eastAsia="ＭＳ 明朝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043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0438F"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  <w:rsid w:val="00F0438F"/>
  </w:style>
  <w:style w:type="paragraph" w:styleId="a9">
    <w:name w:val="annotation subject"/>
    <w:basedOn w:val="a7"/>
    <w:next w:val="a7"/>
    <w:link w:val="aa"/>
    <w:uiPriority w:val="99"/>
    <w:semiHidden/>
    <w:unhideWhenUsed/>
    <w:rsid w:val="00F043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F043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s1600728@sendai.kosen-ac.jp</dc:creator>
  <cp:keywords/>
  <dc:description/>
  <cp:lastModifiedBy>s1600728@sendai.kosen-ac.jp</cp:lastModifiedBy>
  <cp:revision>2</cp:revision>
  <dcterms:created xsi:type="dcterms:W3CDTF">2019-06-13T01:41:00Z</dcterms:created>
  <dcterms:modified xsi:type="dcterms:W3CDTF">2019-06-14T03:41:00Z</dcterms:modified>
</cp:coreProperties>
</file>