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3EEF" w14:textId="05EF4DE6" w:rsidR="00C36636" w:rsidRDefault="00C36636" w:rsidP="00C36636">
      <w:pPr>
        <w:pStyle w:val="Title"/>
        <w:spacing w:before="240" w:after="200"/>
        <w:contextualSpacing w:val="0"/>
        <w:jc w:val="center"/>
        <w:rPr>
          <w:rFonts w:ascii="Avenir Book" w:hAnsi="Avenir Book"/>
          <w:b/>
          <w:bCs/>
          <w:i/>
          <w:iCs/>
          <w:color w:val="000000" w:themeColor="text1"/>
          <w:sz w:val="36"/>
          <w:szCs w:val="36"/>
        </w:rPr>
      </w:pPr>
      <w:r>
        <w:rPr>
          <w:rFonts w:ascii="Avenir Book" w:hAnsi="Avenir Book"/>
          <w:b/>
          <w:bCs/>
          <w:color w:val="000000" w:themeColor="text1"/>
          <w:sz w:val="36"/>
          <w:szCs w:val="36"/>
        </w:rPr>
        <w:t xml:space="preserve">Olay’s Comments on the </w:t>
      </w:r>
      <w:r w:rsidRPr="000E62E7">
        <w:rPr>
          <w:rFonts w:ascii="Avenir Book" w:hAnsi="Avenir Book"/>
          <w:b/>
          <w:bCs/>
          <w:i/>
          <w:iCs/>
          <w:color w:val="000000" w:themeColor="text1"/>
          <w:sz w:val="36"/>
          <w:szCs w:val="36"/>
        </w:rPr>
        <w:t>Event of Meaning in Gadamer’s Hermeneutics</w:t>
      </w:r>
    </w:p>
    <w:p w14:paraId="4E6FD162" w14:textId="2E53FB29" w:rsidR="00726E4B" w:rsidRPr="001904D6" w:rsidRDefault="005805DC" w:rsidP="00726E4B">
      <w:pPr>
        <w:spacing w:before="120" w:after="0" w:line="240" w:lineRule="auto"/>
        <w:jc w:val="center"/>
        <w:rPr>
          <w:rFonts w:ascii="Avenir Book" w:eastAsiaTheme="majorEastAsia" w:hAnsi="Avenir Book" w:cstheme="majorBidi"/>
          <w:b/>
          <w:bCs/>
          <w:color w:val="000000" w:themeColor="text1"/>
          <w:sz w:val="24"/>
          <w:szCs w:val="24"/>
        </w:rPr>
      </w:pPr>
      <w:r>
        <w:rPr>
          <w:rFonts w:ascii="Avenir Book" w:eastAsiaTheme="majorEastAsia" w:hAnsi="Avenir Book" w:cstheme="majorBidi"/>
          <w:b/>
          <w:bCs/>
          <w:color w:val="000000" w:themeColor="text1"/>
          <w:sz w:val="24"/>
          <w:szCs w:val="24"/>
        </w:rPr>
        <w:t xml:space="preserve">Csaba </w:t>
      </w:r>
      <w:r w:rsidR="00726E4B">
        <w:rPr>
          <w:rFonts w:ascii="Avenir Book" w:eastAsiaTheme="majorEastAsia" w:hAnsi="Avenir Book" w:cstheme="majorBidi"/>
          <w:b/>
          <w:bCs/>
          <w:color w:val="000000" w:themeColor="text1"/>
          <w:sz w:val="24"/>
          <w:szCs w:val="24"/>
        </w:rPr>
        <w:t>Olay</w:t>
      </w:r>
    </w:p>
    <w:p w14:paraId="32C06B34" w14:textId="7A6F0756" w:rsidR="00726E4B" w:rsidRPr="00726E4B" w:rsidRDefault="00726E4B" w:rsidP="00726E4B">
      <w:pPr>
        <w:spacing w:line="240" w:lineRule="auto"/>
        <w:jc w:val="center"/>
        <w:rPr>
          <w:rFonts w:ascii="Avenir Book" w:hAnsi="Avenir Book"/>
          <w:sz w:val="24"/>
          <w:szCs w:val="24"/>
        </w:rPr>
      </w:pPr>
      <w:r w:rsidRPr="00726E4B">
        <w:rPr>
          <w:rStyle w:val="im"/>
          <w:rFonts w:ascii="Avenir Book" w:hAnsi="Avenir Book"/>
          <w:sz w:val="24"/>
          <w:szCs w:val="24"/>
        </w:rPr>
        <w:t>Eötvös University Budapest</w:t>
      </w:r>
      <w:r w:rsidRPr="001904D6">
        <w:rPr>
          <w:rFonts w:ascii="Avenir Book" w:hAnsi="Avenir Book"/>
          <w:color w:val="000000" w:themeColor="text1"/>
          <w:sz w:val="24"/>
          <w:szCs w:val="24"/>
        </w:rPr>
        <w:br/>
      </w:r>
      <w:r w:rsidRPr="00726E4B">
        <w:rPr>
          <w:rFonts w:ascii="Avenir Book" w:hAnsi="Avenir Book"/>
          <w:sz w:val="24"/>
          <w:szCs w:val="24"/>
        </w:rPr>
        <w:t>olay.csaba@btk.elte.hu</w:t>
      </w:r>
    </w:p>
    <w:p w14:paraId="4FD9E9A5" w14:textId="1D4C31E7" w:rsidR="00726E4B" w:rsidRPr="00726E4B" w:rsidRDefault="00726E4B" w:rsidP="00726E4B">
      <w:pPr>
        <w:pStyle w:val="Heading2"/>
        <w:spacing w:before="240" w:after="120"/>
        <w:jc w:val="center"/>
        <w:rPr>
          <w:rFonts w:ascii="Avenir Book" w:hAnsi="Avenir Book"/>
          <w:color w:val="000000" w:themeColor="text1"/>
          <w:sz w:val="20"/>
          <w:szCs w:val="20"/>
        </w:rPr>
      </w:pPr>
      <w:r w:rsidRPr="00726E4B">
        <w:rPr>
          <w:rFonts w:ascii="Avenir Book" w:hAnsi="Avenir Book"/>
          <w:b w:val="0"/>
          <w:bCs w:val="0"/>
          <w:color w:val="000000" w:themeColor="text1"/>
          <w:sz w:val="20"/>
          <w:szCs w:val="20"/>
        </w:rPr>
        <w:t xml:space="preserve">ORCID: </w:t>
      </w:r>
      <w:hyperlink r:id="rId7" w:history="1">
        <w:r w:rsidRPr="00726E4B">
          <w:rPr>
            <w:rStyle w:val="Hyperlink"/>
            <w:rFonts w:ascii="Avenir Book" w:hAnsi="Avenir Book"/>
            <w:sz w:val="20"/>
            <w:szCs w:val="20"/>
          </w:rPr>
          <w:t>https://orcid.org/0000-0001-9713-1418</w:t>
        </w:r>
      </w:hyperlink>
      <w:r>
        <w:rPr>
          <w:rFonts w:ascii="Avenir Book" w:hAnsi="Avenir Book"/>
          <w:color w:val="000000" w:themeColor="text1"/>
          <w:sz w:val="20"/>
          <w:szCs w:val="20"/>
        </w:rPr>
        <w:t xml:space="preserve"> </w:t>
      </w:r>
    </w:p>
    <w:p w14:paraId="41E44C9E" w14:textId="77777777" w:rsidR="00B51346" w:rsidRPr="00575A0E" w:rsidRDefault="00B51346">
      <w:pPr>
        <w:rPr>
          <w:rFonts w:ascii="Avenir Book" w:hAnsi="Avenir Book"/>
          <w:color w:val="000000" w:themeColor="text1"/>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575A0E" w:rsidRPr="00CA0E9B" w14:paraId="23D4F9B1" w14:textId="77777777" w:rsidTr="005F1673">
        <w:tc>
          <w:tcPr>
            <w:tcW w:w="9350" w:type="dxa"/>
          </w:tcPr>
          <w:p w14:paraId="01D6ADC4" w14:textId="47AF9DE7" w:rsidR="00575A0E" w:rsidRPr="00EA330B" w:rsidRDefault="00575A0E" w:rsidP="005F1673">
            <w:pPr>
              <w:pStyle w:val="Heading3"/>
              <w:spacing w:before="120"/>
              <w:rPr>
                <w:rFonts w:ascii="Avenir Book" w:hAnsi="Avenir Book"/>
                <w:b w:val="0"/>
                <w:bCs w:val="0"/>
                <w:sz w:val="20"/>
                <w:szCs w:val="20"/>
              </w:rPr>
            </w:pPr>
            <w:r w:rsidRPr="00EA330B">
              <w:rPr>
                <w:rFonts w:ascii="Avenir Book" w:hAnsi="Avenir Book"/>
                <w:b w:val="0"/>
                <w:bCs w:val="0"/>
                <w:sz w:val="20"/>
                <w:szCs w:val="20"/>
              </w:rPr>
              <w:t xml:space="preserve">DOI: </w:t>
            </w:r>
            <w:hyperlink r:id="rId8" w:history="1">
              <w:r w:rsidR="00523281" w:rsidRPr="00C233EA">
                <w:rPr>
                  <w:rStyle w:val="Hyperlink"/>
                  <w:rFonts w:ascii="Avenir Book" w:hAnsi="Avenir Book"/>
                  <w:b w:val="0"/>
                  <w:bCs w:val="0"/>
                  <w:sz w:val="20"/>
                  <w:szCs w:val="20"/>
                </w:rPr>
                <w:t>http://doi.org/10.21423/wqr9wt28</w:t>
              </w:r>
            </w:hyperlink>
            <w:r w:rsidR="00523281">
              <w:rPr>
                <w:rFonts w:ascii="Avenir Book" w:hAnsi="Avenir Book"/>
                <w:b w:val="0"/>
                <w:bCs w:val="0"/>
                <w:sz w:val="20"/>
                <w:szCs w:val="20"/>
              </w:rPr>
              <w:t xml:space="preserve"> </w:t>
            </w:r>
          </w:p>
        </w:tc>
      </w:tr>
    </w:tbl>
    <w:p w14:paraId="3C7BCBB4" w14:textId="77777777" w:rsidR="00575A0E" w:rsidRPr="00CA0E9B" w:rsidRDefault="00575A0E" w:rsidP="00575A0E">
      <w:pPr>
        <w:pStyle w:val="Heading3"/>
        <w:spacing w:before="360" w:after="200"/>
        <w:rPr>
          <w:rFonts w:ascii="Avenir Book" w:hAnsi="Avenir Book"/>
          <w:color w:val="000000" w:themeColor="text1"/>
        </w:rPr>
      </w:pPr>
      <w:r w:rsidRPr="00CA0E9B">
        <w:rPr>
          <w:rFonts w:ascii="Avenir Book" w:hAnsi="Avenir Book"/>
          <w:color w:val="000000" w:themeColor="text1"/>
        </w:rPr>
        <w:t>Abstract</w:t>
      </w:r>
    </w:p>
    <w:p w14:paraId="35ACA9BF" w14:textId="2932B94C" w:rsidR="00C50860" w:rsidRPr="00CC7F41" w:rsidRDefault="00726E4B" w:rsidP="00C50860">
      <w:pPr>
        <w:spacing w:after="0"/>
        <w:rPr>
          <w:rFonts w:ascii="Avenir Book" w:hAnsi="Avenir Book" w:cs="Times New Roman"/>
          <w:sz w:val="24"/>
          <w:szCs w:val="24"/>
        </w:rPr>
      </w:pPr>
      <w:r>
        <w:rPr>
          <w:rFonts w:ascii="Avenir Book" w:hAnsi="Avenir Book"/>
          <w:color w:val="000000" w:themeColor="text1"/>
        </w:rPr>
        <w:t>This essay is Csaba Olay’s commentary for a book symposium</w:t>
      </w:r>
      <w:r w:rsidRPr="009D3E3F">
        <w:rPr>
          <w:rFonts w:ascii="Avenir Book" w:hAnsi="Avenir Book"/>
          <w:color w:val="000000" w:themeColor="text1"/>
        </w:rPr>
        <w:t xml:space="preserve"> </w:t>
      </w:r>
      <w:r>
        <w:rPr>
          <w:rFonts w:ascii="Avenir Book" w:hAnsi="Avenir Book"/>
          <w:color w:val="000000" w:themeColor="text1"/>
        </w:rPr>
        <w:t xml:space="preserve">on the recently published book </w:t>
      </w:r>
      <w:r>
        <w:rPr>
          <w:rFonts w:ascii="Avenir Book" w:hAnsi="Avenir Book"/>
          <w:i/>
          <w:iCs/>
          <w:color w:val="000000" w:themeColor="text1"/>
        </w:rPr>
        <w:t>The Event of Meaning in Gadamer’s Hermeneutics</w:t>
      </w:r>
      <w:r>
        <w:rPr>
          <w:rFonts w:ascii="Avenir Book" w:hAnsi="Avenir Book"/>
          <w:color w:val="000000" w:themeColor="text1"/>
        </w:rPr>
        <w:t xml:space="preserve"> </w:t>
      </w:r>
      <w:r w:rsidR="00BE7201">
        <w:rPr>
          <w:rFonts w:ascii="Avenir Book" w:hAnsi="Avenir Book"/>
          <w:color w:val="000000" w:themeColor="text1"/>
        </w:rPr>
        <w:t xml:space="preserve">(Routledge 2024) </w:t>
      </w:r>
      <w:r>
        <w:rPr>
          <w:rFonts w:ascii="Avenir Book" w:hAnsi="Avenir Book"/>
          <w:color w:val="000000" w:themeColor="text1"/>
        </w:rPr>
        <w:t xml:space="preserve">by Carlo DaVia and Greg Lynch presented at the 2025 annual conference of the </w:t>
      </w:r>
      <w:r>
        <w:rPr>
          <w:rFonts w:ascii="Avenir Book" w:hAnsi="Avenir Book"/>
        </w:rPr>
        <w:t>North American Society for Philosophical Hermeneutics</w:t>
      </w:r>
      <w:r>
        <w:rPr>
          <w:rFonts w:ascii="Avenir Book" w:hAnsi="Avenir Book"/>
          <w:color w:val="000000" w:themeColor="text1"/>
        </w:rPr>
        <w:t>.</w:t>
      </w:r>
      <w:r w:rsidR="00C50860">
        <w:rPr>
          <w:rFonts w:ascii="Avenir Book" w:hAnsi="Avenir Book"/>
          <w:color w:val="000000" w:themeColor="text1"/>
        </w:rPr>
        <w:t xml:space="preserve"> </w:t>
      </w:r>
      <w:r w:rsidR="00C50860">
        <w:rPr>
          <w:rFonts w:ascii="Avenir Book" w:hAnsi="Avenir Book" w:cs="Times New Roman"/>
          <w:sz w:val="24"/>
          <w:szCs w:val="24"/>
        </w:rPr>
        <w:t>The essay</w:t>
      </w:r>
      <w:r w:rsidR="00C50860" w:rsidRPr="00CC7F41">
        <w:rPr>
          <w:rFonts w:ascii="Avenir Book" w:hAnsi="Avenir Book" w:cs="Times New Roman"/>
          <w:sz w:val="24"/>
          <w:szCs w:val="24"/>
        </w:rPr>
        <w:t xml:space="preserve"> </w:t>
      </w:r>
      <w:r w:rsidR="00C50860">
        <w:rPr>
          <w:rFonts w:ascii="Avenir Book" w:hAnsi="Avenir Book" w:cs="Times New Roman"/>
          <w:sz w:val="24"/>
          <w:szCs w:val="24"/>
        </w:rPr>
        <w:t xml:space="preserve">first </w:t>
      </w:r>
      <w:r w:rsidR="00C50860" w:rsidRPr="00CC7F41">
        <w:rPr>
          <w:rFonts w:ascii="Avenir Book" w:hAnsi="Avenir Book" w:cs="Times New Roman"/>
          <w:sz w:val="24"/>
          <w:szCs w:val="24"/>
        </w:rPr>
        <w:t>sketch</w:t>
      </w:r>
      <w:r w:rsidR="00C50860">
        <w:rPr>
          <w:rFonts w:ascii="Avenir Book" w:hAnsi="Avenir Book" w:cs="Times New Roman"/>
          <w:sz w:val="24"/>
          <w:szCs w:val="24"/>
        </w:rPr>
        <w:t>es</w:t>
      </w:r>
      <w:r w:rsidR="00C50860" w:rsidRPr="00CC7F41">
        <w:rPr>
          <w:rFonts w:ascii="Avenir Book" w:hAnsi="Avenir Book" w:cs="Times New Roman"/>
          <w:sz w:val="24"/>
          <w:szCs w:val="24"/>
        </w:rPr>
        <w:t xml:space="preserve"> the key thesis concerning Gadamer’s event semantics and outline</w:t>
      </w:r>
      <w:r w:rsidR="00402E99">
        <w:rPr>
          <w:rFonts w:ascii="Avenir Book" w:hAnsi="Avenir Book" w:cs="Times New Roman"/>
          <w:sz w:val="24"/>
          <w:szCs w:val="24"/>
        </w:rPr>
        <w:t>s</w:t>
      </w:r>
      <w:r w:rsidR="00C50860" w:rsidRPr="00CC7F41">
        <w:rPr>
          <w:rFonts w:ascii="Avenir Book" w:hAnsi="Avenir Book" w:cs="Times New Roman"/>
          <w:sz w:val="24"/>
          <w:szCs w:val="24"/>
        </w:rPr>
        <w:t xml:space="preserve"> the structure of the book. Second, </w:t>
      </w:r>
      <w:r w:rsidR="00C50860">
        <w:rPr>
          <w:rFonts w:ascii="Avenir Book" w:hAnsi="Avenir Book" w:cs="Times New Roman"/>
          <w:sz w:val="24"/>
          <w:szCs w:val="24"/>
        </w:rPr>
        <w:t>it</w:t>
      </w:r>
      <w:r w:rsidR="00C50860" w:rsidRPr="00CC7F41">
        <w:rPr>
          <w:rFonts w:ascii="Avenir Book" w:hAnsi="Avenir Book" w:cs="Times New Roman"/>
          <w:sz w:val="24"/>
          <w:szCs w:val="24"/>
        </w:rPr>
        <w:t xml:space="preserve"> </w:t>
      </w:r>
      <w:r w:rsidR="00C50860">
        <w:rPr>
          <w:rFonts w:ascii="Avenir Book" w:hAnsi="Avenir Book" w:cs="Times New Roman"/>
          <w:sz w:val="24"/>
          <w:szCs w:val="24"/>
        </w:rPr>
        <w:t>analyzes</w:t>
      </w:r>
      <w:r w:rsidR="00C50860" w:rsidRPr="00CC7F41">
        <w:rPr>
          <w:rFonts w:ascii="Avenir Book" w:hAnsi="Avenir Book" w:cs="Times New Roman"/>
          <w:sz w:val="24"/>
          <w:szCs w:val="24"/>
        </w:rPr>
        <w:t xml:space="preserve"> event semantics</w:t>
      </w:r>
      <w:r w:rsidR="00C50860">
        <w:rPr>
          <w:rFonts w:ascii="Avenir Book" w:hAnsi="Avenir Book" w:cs="Times New Roman"/>
          <w:sz w:val="24"/>
          <w:szCs w:val="24"/>
        </w:rPr>
        <w:t xml:space="preserve"> </w:t>
      </w:r>
      <w:r w:rsidR="00C50860" w:rsidRPr="00CC7F41">
        <w:rPr>
          <w:rFonts w:ascii="Avenir Book" w:hAnsi="Avenir Book" w:cs="Times New Roman"/>
          <w:sz w:val="24"/>
          <w:szCs w:val="24"/>
        </w:rPr>
        <w:t xml:space="preserve">in the context of Gadamer’s hermeneutics. Lastly, </w:t>
      </w:r>
      <w:r w:rsidR="00C50860">
        <w:rPr>
          <w:rFonts w:ascii="Avenir Book" w:hAnsi="Avenir Book" w:cs="Times New Roman"/>
          <w:sz w:val="24"/>
          <w:szCs w:val="24"/>
        </w:rPr>
        <w:t>it focuses on</w:t>
      </w:r>
      <w:r w:rsidR="00C50860" w:rsidRPr="00CC7F41">
        <w:rPr>
          <w:rFonts w:ascii="Avenir Book" w:hAnsi="Avenir Book" w:cs="Times New Roman"/>
          <w:sz w:val="24"/>
          <w:szCs w:val="24"/>
        </w:rPr>
        <w:t xml:space="preserve"> some observations on various consequences and related issues</w:t>
      </w:r>
      <w:r w:rsidR="00C50860">
        <w:rPr>
          <w:rFonts w:ascii="Avenir Book" w:hAnsi="Avenir Book" w:cs="Times New Roman"/>
          <w:sz w:val="24"/>
          <w:szCs w:val="24"/>
        </w:rPr>
        <w:t xml:space="preserve"> of the authors’ claims</w:t>
      </w:r>
      <w:r w:rsidR="00C50860" w:rsidRPr="00CC7F41">
        <w:rPr>
          <w:rFonts w:ascii="Avenir Book" w:hAnsi="Avenir Book" w:cs="Times New Roman"/>
          <w:sz w:val="24"/>
          <w:szCs w:val="24"/>
        </w:rPr>
        <w:t>.</w:t>
      </w:r>
    </w:p>
    <w:p w14:paraId="74427F0C" w14:textId="3BF8D9BB" w:rsidR="00575A0E" w:rsidRPr="00575A0E" w:rsidRDefault="00575A0E" w:rsidP="00A21EE6">
      <w:pPr>
        <w:rPr>
          <w:rFonts w:ascii="Avenir Book" w:hAnsi="Avenir Book"/>
          <w:color w:val="000000" w:themeColor="text1"/>
        </w:rPr>
      </w:pPr>
    </w:p>
    <w:p w14:paraId="3610D437" w14:textId="79992865" w:rsidR="00575A0E" w:rsidRPr="003B70A7" w:rsidRDefault="00575A0E" w:rsidP="00575A0E">
      <w:pPr>
        <w:pBdr>
          <w:bottom w:val="single" w:sz="6" w:space="1" w:color="auto"/>
        </w:pBdr>
        <w:spacing w:before="120" w:after="200"/>
        <w:rPr>
          <w:rFonts w:ascii="Avenir Book" w:hAnsi="Avenir Book"/>
          <w:color w:val="000000" w:themeColor="text1"/>
        </w:rPr>
      </w:pPr>
      <w:r w:rsidRPr="00CA0E9B">
        <w:rPr>
          <w:rFonts w:ascii="Avenir Book" w:hAnsi="Avenir Book"/>
          <w:b/>
          <w:bCs/>
          <w:color w:val="000000" w:themeColor="text1"/>
          <w:sz w:val="24"/>
          <w:szCs w:val="24"/>
        </w:rPr>
        <w:t>Keywords:</w:t>
      </w:r>
      <w:r w:rsidRPr="00CA0E9B">
        <w:rPr>
          <w:rFonts w:ascii="Avenir Book" w:hAnsi="Avenir Book"/>
          <w:b/>
          <w:bCs/>
          <w:color w:val="000000" w:themeColor="text1"/>
        </w:rPr>
        <w:t xml:space="preserve"> </w:t>
      </w:r>
      <w:r w:rsidRPr="00CA0E9B">
        <w:rPr>
          <w:rFonts w:ascii="Avenir Book" w:hAnsi="Avenir Book"/>
          <w:color w:val="000000" w:themeColor="text1"/>
        </w:rPr>
        <w:t xml:space="preserve">Gadamer, </w:t>
      </w:r>
      <w:r w:rsidR="00726E4B">
        <w:rPr>
          <w:rFonts w:ascii="Avenir Book" w:hAnsi="Avenir Book"/>
          <w:color w:val="000000" w:themeColor="text1"/>
        </w:rPr>
        <w:t>Event of Meaning</w:t>
      </w:r>
      <w:r w:rsidR="00726E4B" w:rsidRPr="00CA0E9B">
        <w:rPr>
          <w:rFonts w:ascii="Avenir Book" w:hAnsi="Avenir Book"/>
          <w:color w:val="000000" w:themeColor="text1"/>
        </w:rPr>
        <w:t xml:space="preserve">, Hermeneutics, </w:t>
      </w:r>
      <w:r w:rsidR="00726E4B">
        <w:rPr>
          <w:rFonts w:ascii="Avenir Book" w:hAnsi="Avenir Book"/>
          <w:color w:val="000000" w:themeColor="text1"/>
        </w:rPr>
        <w:t>Occasionality</w:t>
      </w:r>
      <w:r w:rsidR="00726E4B" w:rsidRPr="00CA0E9B">
        <w:rPr>
          <w:rFonts w:ascii="Avenir Book" w:hAnsi="Avenir Book"/>
          <w:color w:val="000000" w:themeColor="text1"/>
        </w:rPr>
        <w:t xml:space="preserve">, </w:t>
      </w:r>
      <w:r w:rsidR="00726E4B">
        <w:rPr>
          <w:rFonts w:ascii="Avenir Book" w:hAnsi="Avenir Book"/>
          <w:color w:val="000000" w:themeColor="text1"/>
        </w:rPr>
        <w:t>Ideality</w:t>
      </w:r>
    </w:p>
    <w:p w14:paraId="5B82ECAC" w14:textId="77777777" w:rsidR="00A21EE6" w:rsidRDefault="00A21EE6" w:rsidP="00A21EE6">
      <w:pPr>
        <w:spacing w:after="0" w:line="360" w:lineRule="auto"/>
        <w:jc w:val="both"/>
        <w:rPr>
          <w:rFonts w:ascii="Avenir Book" w:hAnsi="Avenir Book" w:cs="Times New Roman"/>
          <w:sz w:val="24"/>
          <w:szCs w:val="24"/>
        </w:rPr>
      </w:pPr>
    </w:p>
    <w:p w14:paraId="76FE5466" w14:textId="25E0281D" w:rsidR="00A21EE6" w:rsidRPr="00CC7F41" w:rsidRDefault="00A21EE6" w:rsidP="00A21EE6">
      <w:pPr>
        <w:spacing w:after="0"/>
        <w:rPr>
          <w:rFonts w:ascii="Avenir Book" w:hAnsi="Avenir Book" w:cs="Times New Roman"/>
          <w:sz w:val="24"/>
          <w:szCs w:val="24"/>
        </w:rPr>
      </w:pPr>
      <w:r w:rsidRPr="00CC7F41">
        <w:rPr>
          <w:rFonts w:ascii="Avenir Book" w:hAnsi="Avenir Book" w:cs="Times New Roman"/>
          <w:sz w:val="24"/>
          <w:szCs w:val="24"/>
        </w:rPr>
        <w:t>Gadamer’s concept of language was always at the center of Gadamer</w:t>
      </w:r>
      <w:r>
        <w:rPr>
          <w:rFonts w:ascii="Avenir Book" w:hAnsi="Avenir Book" w:cs="Times New Roman"/>
          <w:sz w:val="24"/>
          <w:szCs w:val="24"/>
        </w:rPr>
        <w:t>ian</w:t>
      </w:r>
      <w:r w:rsidRPr="00CC7F41">
        <w:rPr>
          <w:rFonts w:ascii="Avenir Book" w:hAnsi="Avenir Book" w:cs="Times New Roman"/>
          <w:sz w:val="24"/>
          <w:szCs w:val="24"/>
        </w:rPr>
        <w:t xml:space="preserve"> scholarship, since its fundamental role in his hermeneutics is beyond doubt. The well-argued and clearly written book</w:t>
      </w:r>
      <w:r>
        <w:rPr>
          <w:rFonts w:ascii="Avenir Book" w:hAnsi="Avenir Book" w:cs="Times New Roman"/>
          <w:sz w:val="24"/>
          <w:szCs w:val="24"/>
        </w:rPr>
        <w:t xml:space="preserve">, </w:t>
      </w:r>
      <w:r>
        <w:rPr>
          <w:rFonts w:ascii="Avenir Book" w:hAnsi="Avenir Book" w:cs="Times New Roman"/>
          <w:i/>
          <w:iCs/>
          <w:sz w:val="24"/>
          <w:szCs w:val="24"/>
        </w:rPr>
        <w:t>The Event of Meaning in Gadamer’s Hermeneutics</w:t>
      </w:r>
      <w:r w:rsidR="002B7046">
        <w:rPr>
          <w:rFonts w:ascii="Avenir Book" w:hAnsi="Avenir Book" w:cs="Times New Roman"/>
          <w:i/>
          <w:iCs/>
          <w:sz w:val="24"/>
          <w:szCs w:val="24"/>
        </w:rPr>
        <w:t xml:space="preserve"> </w:t>
      </w:r>
      <w:r w:rsidR="002B7046">
        <w:rPr>
          <w:rFonts w:ascii="Avenir Book" w:hAnsi="Avenir Book" w:cs="Times New Roman"/>
          <w:sz w:val="24"/>
          <w:szCs w:val="24"/>
        </w:rPr>
        <w:t>(Routledge 2024)</w:t>
      </w:r>
      <w:r>
        <w:rPr>
          <w:rFonts w:ascii="Avenir Book" w:hAnsi="Avenir Book" w:cs="Times New Roman"/>
          <w:i/>
          <w:iCs/>
          <w:sz w:val="24"/>
          <w:szCs w:val="24"/>
        </w:rPr>
        <w:t xml:space="preserve">, </w:t>
      </w:r>
      <w:r>
        <w:rPr>
          <w:rFonts w:ascii="Avenir Book" w:hAnsi="Avenir Book" w:cs="Times New Roman"/>
          <w:sz w:val="24"/>
          <w:szCs w:val="24"/>
        </w:rPr>
        <w:t xml:space="preserve">by Carlo </w:t>
      </w:r>
      <w:r w:rsidRPr="00CC7F41">
        <w:rPr>
          <w:rFonts w:ascii="Avenir Book" w:hAnsi="Avenir Book" w:cs="Times New Roman"/>
          <w:sz w:val="24"/>
          <w:szCs w:val="24"/>
        </w:rPr>
        <w:t xml:space="preserve">DaVia and </w:t>
      </w:r>
      <w:r>
        <w:rPr>
          <w:rFonts w:ascii="Avenir Book" w:hAnsi="Avenir Book" w:cs="Times New Roman"/>
          <w:sz w:val="24"/>
          <w:szCs w:val="24"/>
        </w:rPr>
        <w:t xml:space="preserve">Greg </w:t>
      </w:r>
      <w:r w:rsidRPr="00CC7F41">
        <w:rPr>
          <w:rFonts w:ascii="Avenir Book" w:hAnsi="Avenir Book" w:cs="Times New Roman"/>
          <w:sz w:val="24"/>
          <w:szCs w:val="24"/>
        </w:rPr>
        <w:t xml:space="preserve">Lynch is both interesting in itself and also praiseworthy for its systematic ambition. In contrast to Herbert Schnädelbach’s malicious </w:t>
      </w:r>
      <w:r w:rsidRPr="00C50860">
        <w:rPr>
          <w:rFonts w:ascii="Avenir Book" w:hAnsi="Avenir Book" w:cs="Times New Roman"/>
          <w:sz w:val="24"/>
          <w:szCs w:val="24"/>
        </w:rPr>
        <w:t>essay</w:t>
      </w:r>
      <w:r w:rsidR="00C50860">
        <w:rPr>
          <w:rFonts w:ascii="Avenir Book" w:hAnsi="Avenir Book" w:cs="Times New Roman"/>
          <w:sz w:val="24"/>
          <w:szCs w:val="24"/>
        </w:rPr>
        <w:t>––</w:t>
      </w:r>
      <w:r w:rsidRPr="00C50860">
        <w:rPr>
          <w:rFonts w:ascii="Avenir Book" w:hAnsi="Avenir Book" w:cs="Times New Roman"/>
          <w:i/>
          <w:iCs/>
          <w:sz w:val="24"/>
          <w:szCs w:val="24"/>
        </w:rPr>
        <w:t>Morbus</w:t>
      </w:r>
      <w:r w:rsidRPr="00CC7F41">
        <w:rPr>
          <w:rFonts w:ascii="Avenir Book" w:hAnsi="Avenir Book" w:cs="Times New Roman"/>
          <w:i/>
          <w:iCs/>
          <w:sz w:val="24"/>
          <w:szCs w:val="24"/>
        </w:rPr>
        <w:t xml:space="preserve"> hermeneuticus. Thesen zu einer philosophischen Krankheit</w:t>
      </w:r>
      <w:r w:rsidR="00C50860">
        <w:rPr>
          <w:rFonts w:ascii="Avenir Book" w:hAnsi="Avenir Book" w:cs="Times New Roman"/>
          <w:sz w:val="24"/>
          <w:szCs w:val="24"/>
        </w:rPr>
        <w:t>––</w:t>
      </w:r>
      <w:r w:rsidRPr="00CC7F41">
        <w:rPr>
          <w:rFonts w:ascii="Avenir Book" w:hAnsi="Avenir Book" w:cs="Times New Roman"/>
          <w:sz w:val="24"/>
          <w:szCs w:val="24"/>
        </w:rPr>
        <w:t xml:space="preserve">which, as Adorno’s last assistant, attacked hermeneutics as merely reconstructing historical philosophical positions instead of engaging in autonomous, critical thinking, the book </w:t>
      </w:r>
      <w:r w:rsidRPr="00CC7F41">
        <w:rPr>
          <w:rFonts w:ascii="Avenir Book" w:hAnsi="Avenir Book" w:cs="Times New Roman"/>
          <w:sz w:val="24"/>
          <w:szCs w:val="24"/>
        </w:rPr>
        <w:lastRenderedPageBreak/>
        <w:t>rejects such misinterpretations of what hermeneutics can be. First, I sketch the key thesis concerning Gadamer’s event semantics and outline the structure of the book. Second, I comment on event semantics</w:t>
      </w:r>
      <w:r w:rsidR="00C50860">
        <w:rPr>
          <w:rFonts w:ascii="Avenir Book" w:hAnsi="Avenir Book" w:cs="Times New Roman"/>
          <w:sz w:val="24"/>
          <w:szCs w:val="24"/>
        </w:rPr>
        <w:t xml:space="preserve"> and its relationship within the framework</w:t>
      </w:r>
      <w:r w:rsidRPr="00CC7F41">
        <w:rPr>
          <w:rFonts w:ascii="Avenir Book" w:hAnsi="Avenir Book" w:cs="Times New Roman"/>
          <w:sz w:val="24"/>
          <w:szCs w:val="24"/>
        </w:rPr>
        <w:t xml:space="preserve"> of Gadamer’s hermeneutics. Lastly, I will make some observations on various consequences and related issues</w:t>
      </w:r>
      <w:r w:rsidR="00C50860">
        <w:rPr>
          <w:rFonts w:ascii="Avenir Book" w:hAnsi="Avenir Book" w:cs="Times New Roman"/>
          <w:sz w:val="24"/>
          <w:szCs w:val="24"/>
        </w:rPr>
        <w:t xml:space="preserve"> of the authors’ claims</w:t>
      </w:r>
      <w:r w:rsidRPr="00CC7F41">
        <w:rPr>
          <w:rFonts w:ascii="Avenir Book" w:hAnsi="Avenir Book" w:cs="Times New Roman"/>
          <w:sz w:val="24"/>
          <w:szCs w:val="24"/>
        </w:rPr>
        <w:t>.</w:t>
      </w:r>
    </w:p>
    <w:p w14:paraId="15F8BFFF" w14:textId="57BDCD2C"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The key thesis of the book is indicated in its title</w:t>
      </w:r>
      <w:r w:rsidRPr="00CC7F41">
        <w:rPr>
          <w:rFonts w:ascii="Avenir Book" w:hAnsi="Avenir Book" w:cs="Times New Roman"/>
          <w:iCs/>
          <w:sz w:val="24"/>
          <w:szCs w:val="24"/>
        </w:rPr>
        <w:t>: Gadamer’s conception can be understood as a conception of meaning, that is, as a semantic theory in which occasionality and ideality constitute the event of meaning. Unlike what could have been expected, “event” does not refer either to Heidegger’s central</w:t>
      </w:r>
      <w:r w:rsidRPr="00CC7F41">
        <w:rPr>
          <w:rFonts w:ascii="Avenir Book" w:hAnsi="Avenir Book" w:cs="Times New Roman"/>
          <w:sz w:val="24"/>
          <w:szCs w:val="24"/>
        </w:rPr>
        <w:t xml:space="preserve"> concept of </w:t>
      </w:r>
      <w:r w:rsidRPr="00CC7F41">
        <w:rPr>
          <w:rFonts w:ascii="Avenir Book" w:hAnsi="Avenir Book" w:cs="Times New Roman"/>
          <w:i/>
          <w:iCs/>
          <w:sz w:val="24"/>
          <w:szCs w:val="24"/>
        </w:rPr>
        <w:t>Ereignis</w:t>
      </w:r>
      <w:r w:rsidRPr="00CC7F41">
        <w:rPr>
          <w:rFonts w:ascii="Avenir Book" w:hAnsi="Avenir Book" w:cs="Times New Roman"/>
          <w:sz w:val="24"/>
          <w:szCs w:val="24"/>
        </w:rPr>
        <w:t xml:space="preserve"> or to the originally planned title of </w:t>
      </w:r>
      <w:r w:rsidRPr="00CC7F41">
        <w:rPr>
          <w:rFonts w:ascii="Avenir Book" w:hAnsi="Avenir Book" w:cs="Times New Roman"/>
          <w:i/>
          <w:iCs/>
          <w:sz w:val="24"/>
          <w:szCs w:val="24"/>
        </w:rPr>
        <w:t>Truth and method</w:t>
      </w:r>
      <w:r w:rsidRPr="00CC7F41">
        <w:rPr>
          <w:rFonts w:ascii="Avenir Book" w:hAnsi="Avenir Book" w:cs="Times New Roman"/>
          <w:sz w:val="24"/>
          <w:szCs w:val="24"/>
        </w:rPr>
        <w:t xml:space="preserve">: </w:t>
      </w:r>
      <w:r w:rsidRPr="00CC7F41">
        <w:rPr>
          <w:rFonts w:ascii="Avenir Book" w:hAnsi="Avenir Book" w:cs="Times New Roman"/>
          <w:i/>
          <w:iCs/>
          <w:sz w:val="24"/>
          <w:szCs w:val="24"/>
        </w:rPr>
        <w:t>Verstehen und Geschehen</w:t>
      </w:r>
      <w:r w:rsidRPr="00CC7F41">
        <w:rPr>
          <w:rFonts w:ascii="Avenir Book" w:hAnsi="Avenir Book" w:cs="Times New Roman"/>
          <w:sz w:val="24"/>
          <w:szCs w:val="24"/>
        </w:rPr>
        <w:t xml:space="preserve"> (</w:t>
      </w:r>
      <w:r w:rsidRPr="005805DC">
        <w:rPr>
          <w:rFonts w:ascii="Avenir Book" w:hAnsi="Avenir Book" w:cs="Times New Roman"/>
          <w:i/>
          <w:iCs/>
          <w:sz w:val="24"/>
          <w:szCs w:val="24"/>
        </w:rPr>
        <w:t xml:space="preserve">Understanding and </w:t>
      </w:r>
      <w:r w:rsidR="00C50860" w:rsidRPr="005805DC">
        <w:rPr>
          <w:rFonts w:ascii="Avenir Book" w:hAnsi="Avenir Book" w:cs="Times New Roman"/>
          <w:i/>
          <w:iCs/>
          <w:sz w:val="24"/>
          <w:szCs w:val="24"/>
        </w:rPr>
        <w:t>Event</w:t>
      </w:r>
      <w:r w:rsidRPr="00CC7F41">
        <w:rPr>
          <w:rFonts w:ascii="Avenir Book" w:hAnsi="Avenir Book" w:cs="Times New Roman"/>
          <w:sz w:val="24"/>
          <w:szCs w:val="24"/>
        </w:rPr>
        <w:t>). T</w:t>
      </w:r>
      <w:r w:rsidRPr="00CC7F41">
        <w:rPr>
          <w:rFonts w:ascii="Avenir Book" w:hAnsi="Avenir Book" w:cs="Times New Roman"/>
          <w:iCs/>
          <w:sz w:val="24"/>
          <w:szCs w:val="24"/>
        </w:rPr>
        <w:t>he major steps in the argument are as follows</w:t>
      </w:r>
      <w:r w:rsidR="00B5687E">
        <w:rPr>
          <w:rFonts w:ascii="Avenir Book" w:hAnsi="Avenir Book" w:cs="Times New Roman"/>
          <w:iCs/>
          <w:sz w:val="24"/>
          <w:szCs w:val="24"/>
        </w:rPr>
        <w:t>:</w:t>
      </w:r>
      <w:r w:rsidRPr="00CC7F41">
        <w:rPr>
          <w:rFonts w:ascii="Avenir Book" w:hAnsi="Avenir Book" w:cs="Times New Roman"/>
          <w:iCs/>
          <w:sz w:val="24"/>
          <w:szCs w:val="24"/>
        </w:rPr>
        <w:t xml:space="preserve"> </w:t>
      </w:r>
      <w:r w:rsidRPr="00CC7F41">
        <w:rPr>
          <w:rFonts w:ascii="Avenir Book" w:hAnsi="Avenir Book" w:cs="Times New Roman"/>
          <w:sz w:val="24"/>
          <w:szCs w:val="24"/>
        </w:rPr>
        <w:t>The first two chapters develop the notions of occasionality and ideality which the authors regard as the pillars of Gadamer’s conception. “Occasionality” in Gadamer’s sense refers to context dependence</w:t>
      </w:r>
      <w:r w:rsidR="00B5687E">
        <w:rPr>
          <w:rFonts w:ascii="Avenir Book" w:hAnsi="Avenir Book" w:cs="Times New Roman"/>
          <w:sz w:val="24"/>
          <w:szCs w:val="24"/>
        </w:rPr>
        <w:t>;</w:t>
      </w:r>
      <w:r w:rsidRPr="00CC7F41">
        <w:rPr>
          <w:rFonts w:ascii="Avenir Book" w:hAnsi="Avenir Book" w:cs="Times New Roman"/>
          <w:sz w:val="24"/>
          <w:szCs w:val="24"/>
        </w:rPr>
        <w:t xml:space="preserve"> </w:t>
      </w:r>
      <w:r w:rsidR="00B5687E">
        <w:rPr>
          <w:rFonts w:ascii="Avenir Book" w:hAnsi="Avenir Book" w:cs="Times New Roman"/>
          <w:sz w:val="24"/>
          <w:szCs w:val="24"/>
        </w:rPr>
        <w:t>thus,</w:t>
      </w:r>
      <w:r w:rsidR="00B5687E" w:rsidRPr="00CC7F41">
        <w:rPr>
          <w:rFonts w:ascii="Avenir Book" w:hAnsi="Avenir Book" w:cs="Times New Roman"/>
          <w:sz w:val="24"/>
          <w:szCs w:val="24"/>
        </w:rPr>
        <w:t xml:space="preserve"> </w:t>
      </w:r>
      <w:r w:rsidRPr="00CC7F41">
        <w:rPr>
          <w:rFonts w:ascii="Avenir Book" w:hAnsi="Avenir Book" w:cs="Times New Roman"/>
          <w:sz w:val="24"/>
          <w:szCs w:val="24"/>
        </w:rPr>
        <w:t>it might be asked whether the logic of question and answer better describes what the authors mean or not. “Ideality</w:t>
      </w:r>
      <w:r w:rsidR="00B5687E">
        <w:rPr>
          <w:rFonts w:ascii="Avenir Book" w:hAnsi="Avenir Book" w:cs="Times New Roman"/>
          <w:sz w:val="24"/>
          <w:szCs w:val="24"/>
        </w:rPr>
        <w:t>,</w:t>
      </w:r>
      <w:r w:rsidRPr="00CC7F41">
        <w:rPr>
          <w:rFonts w:ascii="Avenir Book" w:hAnsi="Avenir Book" w:cs="Times New Roman"/>
          <w:sz w:val="24"/>
          <w:szCs w:val="24"/>
        </w:rPr>
        <w:t>”</w:t>
      </w:r>
      <w:r w:rsidR="00B5687E">
        <w:rPr>
          <w:rFonts w:ascii="Avenir Book" w:hAnsi="Avenir Book" w:cs="Times New Roman"/>
          <w:sz w:val="24"/>
          <w:szCs w:val="24"/>
        </w:rPr>
        <w:t xml:space="preserve"> </w:t>
      </w:r>
      <w:r w:rsidRPr="00CC7F41">
        <w:rPr>
          <w:rFonts w:ascii="Avenir Book" w:hAnsi="Avenir Book" w:cs="Times New Roman"/>
          <w:sz w:val="24"/>
          <w:szCs w:val="24"/>
        </w:rPr>
        <w:t xml:space="preserve">on the other hand, takes into account that meaning must be to some extent “detached” from the particular situations in which it is used. In </w:t>
      </w:r>
      <w:r w:rsidR="00B5687E">
        <w:rPr>
          <w:rFonts w:ascii="Avenir Book" w:hAnsi="Avenir Book" w:cs="Times New Roman"/>
          <w:sz w:val="24"/>
          <w:szCs w:val="24"/>
        </w:rPr>
        <w:t xml:space="preserve">DaVia’s and Lynch’s </w:t>
      </w:r>
      <w:r w:rsidRPr="00CC7F41">
        <w:rPr>
          <w:rFonts w:ascii="Avenir Book" w:hAnsi="Avenir Book" w:cs="Times New Roman"/>
          <w:sz w:val="24"/>
          <w:szCs w:val="24"/>
        </w:rPr>
        <w:t xml:space="preserve">reading, Gadamer’s conception is that “meaning exists </w:t>
      </w:r>
      <w:r w:rsidRPr="00CC7F41">
        <w:rPr>
          <w:rFonts w:ascii="Avenir Book" w:hAnsi="Avenir Book" w:cs="Times New Roman"/>
          <w:i/>
          <w:iCs/>
          <w:sz w:val="24"/>
          <w:szCs w:val="24"/>
        </w:rPr>
        <w:t>only in and through</w:t>
      </w:r>
      <w:r w:rsidRPr="00CC7F41">
        <w:rPr>
          <w:rFonts w:ascii="Avenir Book" w:hAnsi="Avenir Book" w:cs="Times New Roman"/>
          <w:sz w:val="24"/>
          <w:szCs w:val="24"/>
        </w:rPr>
        <w:t xml:space="preserve"> the plurality of different occasions on which it is understood</w:t>
      </w:r>
      <w:r w:rsidR="00C50860">
        <w:rPr>
          <w:rFonts w:ascii="Avenir Book" w:hAnsi="Avenir Book" w:cs="Times New Roman"/>
          <w:sz w:val="24"/>
          <w:szCs w:val="24"/>
        </w:rPr>
        <w:t>.</w:t>
      </w:r>
      <w:r w:rsidRPr="00CC7F41">
        <w:rPr>
          <w:rFonts w:ascii="Avenir Book" w:hAnsi="Avenir Book" w:cs="Times New Roman"/>
          <w:sz w:val="24"/>
          <w:szCs w:val="24"/>
        </w:rPr>
        <w:t>”</w:t>
      </w:r>
      <w:r w:rsidR="00C50860">
        <w:rPr>
          <w:rStyle w:val="FootnoteReference"/>
          <w:rFonts w:ascii="Avenir Book" w:hAnsi="Avenir Book" w:cs="Times New Roman"/>
          <w:sz w:val="24"/>
          <w:szCs w:val="24"/>
        </w:rPr>
        <w:footnoteReference w:id="1"/>
      </w:r>
    </w:p>
    <w:p w14:paraId="02EA65B1" w14:textId="756923B0"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 xml:space="preserve">The third chapter presents Gadamer’s theory of interpretation, including the complex issue of the normativity of interpretation. The fourth chapter clarifies Gadamer’s relation to originalism as the position according to which interpretation aims at recovering the original meaning of the text. In doing so, the authors argue that the famous doctrine of “fusion of horizons” is not a moderated version of originalism, but rather concerns the subject matter which the text </w:t>
      </w:r>
      <w:r w:rsidR="00B5687E">
        <w:rPr>
          <w:rFonts w:ascii="Avenir Book" w:hAnsi="Avenir Book" w:cs="Times New Roman"/>
          <w:sz w:val="24"/>
          <w:szCs w:val="24"/>
        </w:rPr>
        <w:t>addresses</w:t>
      </w:r>
      <w:r w:rsidRPr="00CC7F41">
        <w:rPr>
          <w:rFonts w:ascii="Avenir Book" w:hAnsi="Avenir Book" w:cs="Times New Roman"/>
          <w:sz w:val="24"/>
          <w:szCs w:val="24"/>
        </w:rPr>
        <w:t>. The fifth chapter explores aspects of the relationship between events of meaning and the world, while the sixth chapter addresses Gadamer’s view on essences, a traditional central problem of philosophy. DaVia and Lynch maintain that Gadamer defends a</w:t>
      </w:r>
      <w:r w:rsidR="00B5687E">
        <w:rPr>
          <w:rFonts w:ascii="Avenir Book" w:hAnsi="Avenir Book" w:cs="Times New Roman"/>
          <w:sz w:val="24"/>
          <w:szCs w:val="24"/>
        </w:rPr>
        <w:t>n</w:t>
      </w:r>
      <w:r w:rsidRPr="00CC7F41">
        <w:rPr>
          <w:rFonts w:ascii="Avenir Book" w:hAnsi="Avenir Book" w:cs="Times New Roman"/>
          <w:sz w:val="24"/>
          <w:szCs w:val="24"/>
        </w:rPr>
        <w:t xml:space="preserve"> essentialism according to which essences are “causes explaining why things necessarily are the way </w:t>
      </w:r>
      <w:r w:rsidRPr="00CC7F41">
        <w:rPr>
          <w:rFonts w:ascii="Avenir Book" w:hAnsi="Avenir Book" w:cs="Times New Roman"/>
          <w:sz w:val="24"/>
          <w:szCs w:val="24"/>
        </w:rPr>
        <w:lastRenderedPageBreak/>
        <w:t>they are</w:t>
      </w:r>
      <w:r w:rsidR="00C50860">
        <w:rPr>
          <w:rFonts w:ascii="Avenir Book" w:hAnsi="Avenir Book" w:cs="Times New Roman"/>
          <w:sz w:val="24"/>
          <w:szCs w:val="24"/>
        </w:rPr>
        <w:t>.</w:t>
      </w:r>
      <w:r w:rsidRPr="00CC7F41">
        <w:rPr>
          <w:rFonts w:ascii="Avenir Book" w:hAnsi="Avenir Book" w:cs="Times New Roman"/>
          <w:sz w:val="24"/>
          <w:szCs w:val="24"/>
        </w:rPr>
        <w:t>”</w:t>
      </w:r>
      <w:r w:rsidR="00C50860">
        <w:rPr>
          <w:rStyle w:val="FootnoteReference"/>
          <w:rFonts w:ascii="Avenir Book" w:hAnsi="Avenir Book" w:cs="Times New Roman"/>
          <w:sz w:val="24"/>
          <w:szCs w:val="24"/>
        </w:rPr>
        <w:footnoteReference w:id="2"/>
      </w:r>
      <w:r w:rsidRPr="00CC7F41">
        <w:rPr>
          <w:rFonts w:ascii="Avenir Book" w:hAnsi="Avenir Book" w:cs="Times New Roman"/>
          <w:sz w:val="24"/>
          <w:szCs w:val="24"/>
        </w:rPr>
        <w:t xml:space="preserve"> Finally, the seventh chapter discusses certain implications of Gadamer’s concept of philosophy, trying to show that philosophy, for him, is still a theoretical undertaking that cannot be resolved in practical reasoning. On the whole, there is a pivotal field that is strikingly marginalized in this reading, namely the domain of art and </w:t>
      </w:r>
      <w:r w:rsidR="00B5687E">
        <w:rPr>
          <w:rFonts w:ascii="Avenir Book" w:hAnsi="Avenir Book" w:cs="Times New Roman"/>
          <w:sz w:val="24"/>
          <w:szCs w:val="24"/>
        </w:rPr>
        <w:t xml:space="preserve">the </w:t>
      </w:r>
      <w:r w:rsidRPr="00CC7F41">
        <w:rPr>
          <w:rFonts w:ascii="Avenir Book" w:hAnsi="Avenir Book" w:cs="Times New Roman"/>
          <w:sz w:val="24"/>
          <w:szCs w:val="24"/>
        </w:rPr>
        <w:t>philosophy of art.</w:t>
      </w:r>
    </w:p>
    <w:p w14:paraId="754BF8C9" w14:textId="78C53077"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The central aim of the book is to make a case for a Gadamerian semantics that the authors call event semantics. They take as point of departure the opposition between hermeneutics and semantics suggested by Gadamer</w:t>
      </w:r>
      <w:r w:rsidR="00033A08">
        <w:rPr>
          <w:rFonts w:ascii="Avenir Book" w:hAnsi="Avenir Book" w:cs="Times New Roman"/>
          <w:sz w:val="24"/>
          <w:szCs w:val="24"/>
        </w:rPr>
        <w:t>––</w:t>
      </w:r>
      <w:r w:rsidRPr="00CC7F41">
        <w:rPr>
          <w:rFonts w:ascii="Avenir Book" w:hAnsi="Avenir Book" w:cs="Times New Roman"/>
          <w:sz w:val="24"/>
          <w:szCs w:val="24"/>
        </w:rPr>
        <w:t xml:space="preserve">an opposition which, </w:t>
      </w:r>
      <w:r w:rsidR="00033A08">
        <w:rPr>
          <w:rFonts w:ascii="Avenir Book" w:hAnsi="Avenir Book" w:cs="Times New Roman"/>
          <w:sz w:val="24"/>
          <w:szCs w:val="24"/>
        </w:rPr>
        <w:t>according to</w:t>
      </w:r>
      <w:r w:rsidR="00033A08" w:rsidRPr="00CC7F41">
        <w:rPr>
          <w:rFonts w:ascii="Avenir Book" w:hAnsi="Avenir Book" w:cs="Times New Roman"/>
          <w:sz w:val="24"/>
          <w:szCs w:val="24"/>
        </w:rPr>
        <w:t xml:space="preserve"> </w:t>
      </w:r>
      <w:r w:rsidRPr="00CC7F41">
        <w:rPr>
          <w:rFonts w:ascii="Avenir Book" w:hAnsi="Avenir Book" w:cs="Times New Roman"/>
          <w:sz w:val="24"/>
          <w:szCs w:val="24"/>
        </w:rPr>
        <w:t xml:space="preserve">DaVia and Lynch, holds only with respect to “formal semantics” and becomes untenable once semantics is understood in a broader sense of what meaning is. Their project belongs to attempts to bridge philosophical discourses that have sharply diverged in recent decades, namely the discourses of “analytic” and “hermeneutic” or “continental” philosophy. Prominent </w:t>
      </w:r>
      <w:r w:rsidR="00D84A37">
        <w:rPr>
          <w:rFonts w:ascii="Avenir Book" w:hAnsi="Avenir Book" w:cs="Times New Roman"/>
          <w:sz w:val="24"/>
          <w:szCs w:val="24"/>
        </w:rPr>
        <w:t xml:space="preserve">philosophers </w:t>
      </w:r>
      <w:r w:rsidRPr="00CC7F41">
        <w:rPr>
          <w:rFonts w:ascii="Avenir Book" w:hAnsi="Avenir Book" w:cs="Times New Roman"/>
          <w:sz w:val="24"/>
          <w:szCs w:val="24"/>
        </w:rPr>
        <w:t>such as Karl-Otto Apel and Jürgen Habermas have contributed to this “bridging project</w:t>
      </w:r>
      <w:r w:rsidR="00D84A37">
        <w:rPr>
          <w:rFonts w:ascii="Avenir Book" w:hAnsi="Avenir Book" w:cs="Times New Roman"/>
          <w:sz w:val="24"/>
          <w:szCs w:val="24"/>
        </w:rPr>
        <w:t>,</w:t>
      </w:r>
      <w:r w:rsidRPr="00CC7F41">
        <w:rPr>
          <w:rFonts w:ascii="Avenir Book" w:hAnsi="Avenir Book" w:cs="Times New Roman"/>
          <w:sz w:val="24"/>
          <w:szCs w:val="24"/>
        </w:rPr>
        <w:t xml:space="preserve">” for whom connecting these traditions was an intrinsic part of their philosophical efforts. An important assumption of these attempts was the conviction that philosophy of language, or the “linguistic turn” in analytic philosophy, constituted the </w:t>
      </w:r>
      <w:r w:rsidRPr="00CC7F41">
        <w:rPr>
          <w:rFonts w:ascii="Avenir Book" w:hAnsi="Avenir Book" w:cs="Times New Roman"/>
          <w:i/>
          <w:iCs/>
          <w:sz w:val="24"/>
          <w:szCs w:val="24"/>
        </w:rPr>
        <w:t>prima philosophia</w:t>
      </w:r>
      <w:r w:rsidRPr="00CC7F41">
        <w:rPr>
          <w:rFonts w:ascii="Avenir Book" w:hAnsi="Avenir Book" w:cs="Times New Roman"/>
          <w:sz w:val="24"/>
          <w:szCs w:val="24"/>
        </w:rPr>
        <w:t xml:space="preserve">, i.e., the primary or predominant field of philosophical inquiry. After the </w:t>
      </w:r>
      <w:r w:rsidR="00D84A37">
        <w:rPr>
          <w:rFonts w:ascii="Avenir Book" w:hAnsi="Avenir Book" w:cs="Times New Roman"/>
          <w:sz w:val="24"/>
          <w:szCs w:val="24"/>
        </w:rPr>
        <w:t>collapse</w:t>
      </w:r>
      <w:r w:rsidR="00D84A37" w:rsidRPr="00CC7F41">
        <w:rPr>
          <w:rFonts w:ascii="Avenir Book" w:hAnsi="Avenir Book" w:cs="Times New Roman"/>
          <w:sz w:val="24"/>
          <w:szCs w:val="24"/>
        </w:rPr>
        <w:t xml:space="preserve"> </w:t>
      </w:r>
      <w:r w:rsidRPr="00CC7F41">
        <w:rPr>
          <w:rFonts w:ascii="Avenir Book" w:hAnsi="Avenir Book" w:cs="Times New Roman"/>
          <w:sz w:val="24"/>
          <w:szCs w:val="24"/>
        </w:rPr>
        <w:t>of this assumption, with the rise of the philosophy of mind (that was previously pushed into the background due to the severe critique of the late Wittgenstein) and cognitive science in the 1970s, analytic philosophy no longer needed to cooperate with European subject-philosophy.</w:t>
      </w:r>
    </w:p>
    <w:p w14:paraId="7E942DC8" w14:textId="6E14D906"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Be it as it may, the event semantics of Gadamer proposed by DaVia and Lynch state</w:t>
      </w:r>
      <w:r w:rsidR="00D84A37">
        <w:rPr>
          <w:rFonts w:ascii="Avenir Book" w:hAnsi="Avenir Book" w:cs="Times New Roman"/>
          <w:sz w:val="24"/>
          <w:szCs w:val="24"/>
        </w:rPr>
        <w:t>s</w:t>
      </w:r>
      <w:r w:rsidRPr="00CC7F41">
        <w:rPr>
          <w:rFonts w:ascii="Avenir Book" w:hAnsi="Avenir Book" w:cs="Times New Roman"/>
          <w:sz w:val="24"/>
          <w:szCs w:val="24"/>
        </w:rPr>
        <w:t xml:space="preserve"> that any hermeneutics implies a semantics, and they claim, furthermore, that no one has undertaken “to reconstruct the account of meaning” underlying Gadamer’s theory, </w:t>
      </w:r>
      <w:r w:rsidR="00D84A37">
        <w:rPr>
          <w:rFonts w:ascii="Avenir Book" w:hAnsi="Avenir Book" w:cs="Times New Roman"/>
          <w:sz w:val="24"/>
          <w:szCs w:val="24"/>
        </w:rPr>
        <w:t xml:space="preserve">that is, </w:t>
      </w:r>
      <w:r w:rsidRPr="00CC7F41">
        <w:rPr>
          <w:rFonts w:ascii="Avenir Book" w:hAnsi="Avenir Book" w:cs="Times New Roman"/>
          <w:sz w:val="24"/>
          <w:szCs w:val="24"/>
        </w:rPr>
        <w:t>“the semantic implications of his hermeneutics</w:t>
      </w:r>
      <w:r w:rsidR="00D84A37">
        <w:rPr>
          <w:rFonts w:ascii="Avenir Book" w:hAnsi="Avenir Book" w:cs="Times New Roman"/>
          <w:sz w:val="24"/>
          <w:szCs w:val="24"/>
        </w:rPr>
        <w:t>.</w:t>
      </w:r>
      <w:r w:rsidRPr="00CC7F41">
        <w:rPr>
          <w:rFonts w:ascii="Avenir Book" w:hAnsi="Avenir Book" w:cs="Times New Roman"/>
          <w:sz w:val="24"/>
          <w:szCs w:val="24"/>
        </w:rPr>
        <w:t>”</w:t>
      </w:r>
      <w:r w:rsidR="00D84A37">
        <w:rPr>
          <w:rStyle w:val="FootnoteReference"/>
          <w:rFonts w:ascii="Avenir Book" w:hAnsi="Avenir Book" w:cs="Times New Roman"/>
          <w:sz w:val="24"/>
          <w:szCs w:val="24"/>
        </w:rPr>
        <w:footnoteReference w:id="3"/>
      </w:r>
      <w:r w:rsidRPr="00CC7F41">
        <w:rPr>
          <w:rFonts w:ascii="Avenir Book" w:hAnsi="Avenir Book" w:cs="Times New Roman"/>
          <w:sz w:val="24"/>
          <w:szCs w:val="24"/>
        </w:rPr>
        <w:t xml:space="preserve"> (2). As a consequence, they try to show that Gadamer was “an explicitly semantic thinker all along</w:t>
      </w:r>
      <w:r w:rsidR="00D84A37">
        <w:rPr>
          <w:rFonts w:ascii="Avenir Book" w:hAnsi="Avenir Book" w:cs="Times New Roman"/>
          <w:sz w:val="24"/>
          <w:szCs w:val="24"/>
        </w:rPr>
        <w:t>,</w:t>
      </w:r>
      <w:r w:rsidRPr="00CC7F41">
        <w:rPr>
          <w:rFonts w:ascii="Avenir Book" w:hAnsi="Avenir Book" w:cs="Times New Roman"/>
          <w:sz w:val="24"/>
          <w:szCs w:val="24"/>
        </w:rPr>
        <w:t>”</w:t>
      </w:r>
      <w:r w:rsidR="00D84A37">
        <w:rPr>
          <w:rStyle w:val="FootnoteReference"/>
          <w:rFonts w:ascii="Avenir Book" w:hAnsi="Avenir Book" w:cs="Times New Roman"/>
          <w:sz w:val="24"/>
          <w:szCs w:val="24"/>
        </w:rPr>
        <w:footnoteReference w:id="4"/>
      </w:r>
      <w:r w:rsidRPr="00CC7F41">
        <w:rPr>
          <w:rFonts w:ascii="Avenir Book" w:hAnsi="Avenir Book" w:cs="Times New Roman"/>
          <w:sz w:val="24"/>
          <w:szCs w:val="24"/>
        </w:rPr>
        <w:t xml:space="preserve"> and, in addition, they present his thought from a new perspective, highlighting aspects that ha</w:t>
      </w:r>
      <w:r w:rsidR="00D84A37">
        <w:rPr>
          <w:rFonts w:ascii="Avenir Book" w:hAnsi="Avenir Book" w:cs="Times New Roman"/>
          <w:sz w:val="24"/>
          <w:szCs w:val="24"/>
        </w:rPr>
        <w:t>ve</w:t>
      </w:r>
      <w:r w:rsidRPr="00CC7F41">
        <w:rPr>
          <w:rFonts w:ascii="Avenir Book" w:hAnsi="Avenir Book" w:cs="Times New Roman"/>
          <w:sz w:val="24"/>
          <w:szCs w:val="24"/>
        </w:rPr>
        <w:t xml:space="preserve"> tended to remain in the background. The systematic interest is praiseworthy so </w:t>
      </w:r>
      <w:r w:rsidRPr="00CC7F41">
        <w:rPr>
          <w:rFonts w:ascii="Avenir Book" w:hAnsi="Avenir Book" w:cs="Times New Roman"/>
          <w:sz w:val="24"/>
          <w:szCs w:val="24"/>
        </w:rPr>
        <w:lastRenderedPageBreak/>
        <w:t>much the more as the authors correctly remark that secondary literature (</w:t>
      </w:r>
      <w:r w:rsidR="00D84A37">
        <w:rPr>
          <w:rFonts w:ascii="Avenir Book" w:hAnsi="Avenir Book" w:cs="Times New Roman"/>
          <w:sz w:val="24"/>
          <w:szCs w:val="24"/>
        </w:rPr>
        <w:t>as well as the literature</w:t>
      </w:r>
      <w:r w:rsidR="00D84A37" w:rsidRPr="00CC7F41">
        <w:rPr>
          <w:rFonts w:ascii="Avenir Book" w:hAnsi="Avenir Book" w:cs="Times New Roman"/>
          <w:sz w:val="24"/>
          <w:szCs w:val="24"/>
        </w:rPr>
        <w:t xml:space="preserve"> </w:t>
      </w:r>
      <w:r w:rsidRPr="00CC7F41">
        <w:rPr>
          <w:rFonts w:ascii="Avenir Book" w:hAnsi="Avenir Book" w:cs="Times New Roman"/>
          <w:sz w:val="24"/>
          <w:szCs w:val="24"/>
        </w:rPr>
        <w:t>on Heidegger) is often too repetitive</w:t>
      </w:r>
      <w:r w:rsidR="00D84A37">
        <w:rPr>
          <w:rFonts w:ascii="Avenir Book" w:hAnsi="Avenir Book" w:cs="Times New Roman"/>
          <w:sz w:val="24"/>
          <w:szCs w:val="24"/>
        </w:rPr>
        <w:t>.</w:t>
      </w:r>
      <w:r w:rsidR="00D84A37">
        <w:rPr>
          <w:rStyle w:val="FootnoteReference"/>
          <w:rFonts w:ascii="Avenir Book" w:hAnsi="Avenir Book" w:cs="Times New Roman"/>
          <w:sz w:val="24"/>
          <w:szCs w:val="24"/>
        </w:rPr>
        <w:footnoteReference w:id="5"/>
      </w:r>
      <w:r w:rsidRPr="00CC7F41">
        <w:rPr>
          <w:rFonts w:ascii="Avenir Book" w:hAnsi="Avenir Book" w:cs="Times New Roman"/>
          <w:sz w:val="24"/>
          <w:szCs w:val="24"/>
        </w:rPr>
        <w:t xml:space="preserve"> (</w:t>
      </w:r>
    </w:p>
    <w:p w14:paraId="15AD3EAE" w14:textId="0BE4C1A4"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DaVia and Lynch think that Gadamer’s semantics might be captured in the claim that meaning is an event, justifying it with the following passage: “Understanding must be conceived as a part of the event of meaning [</w:t>
      </w:r>
      <w:r w:rsidRPr="00CC7F41">
        <w:rPr>
          <w:rFonts w:ascii="Avenir Book" w:hAnsi="Avenir Book" w:cs="Times New Roman"/>
          <w:i/>
          <w:iCs/>
          <w:sz w:val="24"/>
          <w:szCs w:val="24"/>
        </w:rPr>
        <w:t>Sinngeschehen</w:t>
      </w:r>
      <w:r w:rsidRPr="00CC7F41">
        <w:rPr>
          <w:rFonts w:ascii="Avenir Book" w:hAnsi="Avenir Book" w:cs="Times New Roman"/>
          <w:sz w:val="24"/>
          <w:szCs w:val="24"/>
        </w:rPr>
        <w:t>], the event in which the meaning of all statements</w:t>
      </w:r>
      <w:r w:rsidR="00583715">
        <w:rPr>
          <w:rFonts w:ascii="Avenir Book" w:hAnsi="Avenir Book" w:cs="Times New Roman"/>
          <w:sz w:val="24"/>
          <w:szCs w:val="24"/>
        </w:rPr>
        <w:t>––</w:t>
      </w:r>
      <w:r w:rsidRPr="00CC7F41">
        <w:rPr>
          <w:rFonts w:ascii="Avenir Book" w:hAnsi="Avenir Book" w:cs="Times New Roman"/>
          <w:sz w:val="24"/>
          <w:szCs w:val="24"/>
        </w:rPr>
        <w:t>those of art and all other kinds of tradition</w:t>
      </w:r>
      <w:r w:rsidR="00583715">
        <w:rPr>
          <w:rFonts w:ascii="Avenir Book" w:hAnsi="Avenir Book" w:cs="Times New Roman"/>
          <w:sz w:val="24"/>
          <w:szCs w:val="24"/>
        </w:rPr>
        <w:t>––</w:t>
      </w:r>
      <w:r w:rsidRPr="00CC7F41">
        <w:rPr>
          <w:rFonts w:ascii="Avenir Book" w:hAnsi="Avenir Book" w:cs="Times New Roman"/>
          <w:sz w:val="24"/>
          <w:szCs w:val="24"/>
        </w:rPr>
        <w:t>is formed and actualized</w:t>
      </w:r>
      <w:r w:rsidR="00D84A37">
        <w:rPr>
          <w:rFonts w:ascii="Avenir Book" w:hAnsi="Avenir Book" w:cs="Times New Roman"/>
          <w:sz w:val="24"/>
          <w:szCs w:val="24"/>
        </w:rPr>
        <w:t>.</w:t>
      </w:r>
      <w:r w:rsidRPr="00CC7F41">
        <w:rPr>
          <w:rFonts w:ascii="Avenir Book" w:hAnsi="Avenir Book" w:cs="Times New Roman"/>
          <w:sz w:val="24"/>
          <w:szCs w:val="24"/>
        </w:rPr>
        <w:t>”</w:t>
      </w:r>
      <w:r w:rsidR="00D84A37">
        <w:rPr>
          <w:rStyle w:val="FootnoteReference"/>
          <w:rFonts w:ascii="Avenir Book" w:hAnsi="Avenir Book" w:cs="Times New Roman"/>
          <w:sz w:val="24"/>
          <w:szCs w:val="24"/>
        </w:rPr>
        <w:footnoteReference w:id="6"/>
      </w:r>
      <w:r w:rsidRPr="00CC7F41">
        <w:rPr>
          <w:rFonts w:ascii="Avenir Book" w:hAnsi="Avenir Book" w:cs="Times New Roman"/>
          <w:sz w:val="24"/>
          <w:szCs w:val="24"/>
        </w:rPr>
        <w:t xml:space="preserve"> On this view, “meaning is something </w:t>
      </w:r>
      <w:r w:rsidRPr="00CC7F41">
        <w:rPr>
          <w:rFonts w:ascii="Avenir Book" w:hAnsi="Avenir Book" w:cs="Times New Roman"/>
          <w:i/>
          <w:iCs/>
          <w:sz w:val="24"/>
          <w:szCs w:val="24"/>
        </w:rPr>
        <w:t>effected</w:t>
      </w:r>
      <w:r w:rsidRPr="00CC7F41">
        <w:rPr>
          <w:rFonts w:ascii="Avenir Book" w:hAnsi="Avenir Book" w:cs="Times New Roman"/>
          <w:sz w:val="24"/>
          <w:szCs w:val="24"/>
        </w:rPr>
        <w:t xml:space="preserve"> or </w:t>
      </w:r>
      <w:r w:rsidRPr="00CC7F41">
        <w:rPr>
          <w:rFonts w:ascii="Avenir Book" w:hAnsi="Avenir Book" w:cs="Times New Roman"/>
          <w:i/>
          <w:iCs/>
          <w:sz w:val="24"/>
          <w:szCs w:val="24"/>
        </w:rPr>
        <w:t>accomplished</w:t>
      </w:r>
      <w:r w:rsidRPr="00CC7F41">
        <w:rPr>
          <w:rFonts w:ascii="Avenir Book" w:hAnsi="Avenir Book" w:cs="Times New Roman"/>
          <w:sz w:val="24"/>
          <w:szCs w:val="24"/>
        </w:rPr>
        <w:t xml:space="preserve"> in language, as opposed to an “abstractable sense,” like a proposition, that language expresses</w:t>
      </w:r>
      <w:r w:rsidR="00CB00F4">
        <w:rPr>
          <w:rFonts w:ascii="Avenir Book" w:hAnsi="Avenir Book" w:cs="Times New Roman"/>
          <w:sz w:val="24"/>
          <w:szCs w:val="24"/>
        </w:rPr>
        <w:t>.</w:t>
      </w:r>
      <w:r w:rsidRPr="00CC7F41">
        <w:rPr>
          <w:rFonts w:ascii="Avenir Book" w:hAnsi="Avenir Book" w:cs="Times New Roman"/>
          <w:sz w:val="24"/>
          <w:szCs w:val="24"/>
        </w:rPr>
        <w:t>”</w:t>
      </w:r>
      <w:r w:rsidR="00CB00F4">
        <w:rPr>
          <w:rStyle w:val="FootnoteReference"/>
          <w:rFonts w:ascii="Avenir Book" w:hAnsi="Avenir Book" w:cs="Times New Roman"/>
          <w:sz w:val="24"/>
          <w:szCs w:val="24"/>
        </w:rPr>
        <w:footnoteReference w:id="7"/>
      </w:r>
      <w:r w:rsidRPr="00CC7F41">
        <w:rPr>
          <w:rFonts w:ascii="Avenir Book" w:hAnsi="Avenir Book" w:cs="Times New Roman"/>
          <w:sz w:val="24"/>
          <w:szCs w:val="24"/>
        </w:rPr>
        <w:t xml:space="preserve"> Instead of framing them into relations of representation or signification, </w:t>
      </w:r>
      <w:r w:rsidR="00CB00F4">
        <w:rPr>
          <w:rFonts w:ascii="Avenir Book" w:hAnsi="Avenir Book" w:cs="Times New Roman"/>
          <w:sz w:val="24"/>
          <w:szCs w:val="24"/>
        </w:rPr>
        <w:t>according to</w:t>
      </w:r>
      <w:r w:rsidR="00CB00F4" w:rsidRPr="00CC7F41">
        <w:rPr>
          <w:rFonts w:ascii="Avenir Book" w:hAnsi="Avenir Book" w:cs="Times New Roman"/>
          <w:sz w:val="24"/>
          <w:szCs w:val="24"/>
        </w:rPr>
        <w:t xml:space="preserve"> </w:t>
      </w:r>
      <w:r w:rsidRPr="00CC7F41">
        <w:rPr>
          <w:rFonts w:ascii="Avenir Book" w:hAnsi="Avenir Book" w:cs="Times New Roman"/>
          <w:sz w:val="24"/>
          <w:szCs w:val="24"/>
        </w:rPr>
        <w:t xml:space="preserve">the authors, “Gadamer thinks of the world, understanding, and language as related to meaning by way of </w:t>
      </w:r>
      <w:r w:rsidRPr="00CC7F41">
        <w:rPr>
          <w:rFonts w:ascii="Avenir Book" w:hAnsi="Avenir Book" w:cs="Times New Roman"/>
          <w:i/>
          <w:iCs/>
          <w:sz w:val="24"/>
          <w:szCs w:val="24"/>
        </w:rPr>
        <w:t>participation</w:t>
      </w:r>
      <w:r w:rsidRPr="00CC7F41">
        <w:rPr>
          <w:rFonts w:ascii="Avenir Book" w:hAnsi="Avenir Book" w:cs="Times New Roman"/>
          <w:sz w:val="24"/>
          <w:szCs w:val="24"/>
        </w:rPr>
        <w:t>. Each element is a participant in the event that meaning is.”</w:t>
      </w:r>
      <w:r w:rsidR="00CB00F4">
        <w:rPr>
          <w:rStyle w:val="FootnoteReference"/>
          <w:rFonts w:ascii="Avenir Book" w:hAnsi="Avenir Book" w:cs="Times New Roman"/>
          <w:sz w:val="24"/>
          <w:szCs w:val="24"/>
        </w:rPr>
        <w:footnoteReference w:id="8"/>
      </w:r>
      <w:r w:rsidRPr="00CC7F41">
        <w:rPr>
          <w:rFonts w:ascii="Avenir Book" w:hAnsi="Avenir Book" w:cs="Times New Roman"/>
          <w:sz w:val="24"/>
          <w:szCs w:val="24"/>
        </w:rPr>
        <w:t xml:space="preserve"> The authors specify these aspects as “events of being</w:t>
      </w:r>
      <w:r w:rsidR="005E4E68">
        <w:rPr>
          <w:rFonts w:ascii="Avenir Book" w:hAnsi="Avenir Book" w:cs="Times New Roman"/>
          <w:sz w:val="24"/>
          <w:szCs w:val="24"/>
        </w:rPr>
        <w:t>,</w:t>
      </w:r>
      <w:r w:rsidRPr="00CC7F41">
        <w:rPr>
          <w:rFonts w:ascii="Avenir Book" w:hAnsi="Avenir Book" w:cs="Times New Roman"/>
          <w:sz w:val="24"/>
          <w:szCs w:val="24"/>
        </w:rPr>
        <w:t>” “events of understanding</w:t>
      </w:r>
      <w:r w:rsidR="005E4E68">
        <w:rPr>
          <w:rFonts w:ascii="Avenir Book" w:hAnsi="Avenir Book" w:cs="Times New Roman"/>
          <w:sz w:val="24"/>
          <w:szCs w:val="24"/>
        </w:rPr>
        <w:t>,</w:t>
      </w:r>
      <w:r w:rsidRPr="00CC7F41">
        <w:rPr>
          <w:rFonts w:ascii="Avenir Book" w:hAnsi="Avenir Book" w:cs="Times New Roman"/>
          <w:sz w:val="24"/>
          <w:szCs w:val="24"/>
        </w:rPr>
        <w:t>” and “events of language</w:t>
      </w:r>
      <w:r w:rsidR="005E4E68">
        <w:rPr>
          <w:rFonts w:ascii="Avenir Book" w:hAnsi="Avenir Book" w:cs="Times New Roman"/>
          <w:sz w:val="24"/>
          <w:szCs w:val="24"/>
        </w:rPr>
        <w:t>.</w:t>
      </w:r>
      <w:r w:rsidRPr="00CC7F41">
        <w:rPr>
          <w:rFonts w:ascii="Avenir Book" w:hAnsi="Avenir Book" w:cs="Times New Roman"/>
          <w:sz w:val="24"/>
          <w:szCs w:val="24"/>
        </w:rPr>
        <w:t>”</w:t>
      </w:r>
    </w:p>
    <w:p w14:paraId="324A57C7" w14:textId="755D57D5"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DaVia and Lynch broaden not only the conception of semantics but also the meaning of “language</w:t>
      </w:r>
      <w:r w:rsidR="005E4E68">
        <w:rPr>
          <w:rFonts w:ascii="Avenir Book" w:hAnsi="Avenir Book" w:cs="Times New Roman"/>
          <w:sz w:val="24"/>
          <w:szCs w:val="24"/>
        </w:rPr>
        <w:t>.</w:t>
      </w:r>
      <w:r w:rsidRPr="00CC7F41">
        <w:rPr>
          <w:rFonts w:ascii="Avenir Book" w:hAnsi="Avenir Book" w:cs="Times New Roman"/>
          <w:sz w:val="24"/>
          <w:szCs w:val="24"/>
        </w:rPr>
        <w:t>” They quote Jean Grondin’s interview with Gadamer: “Language in words is only a special concretion of linguisticality.” To grasp the full scope of linguisticality (</w:t>
      </w:r>
      <w:r w:rsidRPr="00CC7F41">
        <w:rPr>
          <w:rFonts w:ascii="Avenir Book" w:hAnsi="Avenir Book" w:cs="Times New Roman"/>
          <w:i/>
          <w:iCs/>
          <w:sz w:val="24"/>
          <w:szCs w:val="24"/>
        </w:rPr>
        <w:t>Sprachlichkeit</w:t>
      </w:r>
      <w:r w:rsidRPr="00CC7F41">
        <w:rPr>
          <w:rFonts w:ascii="Avenir Book" w:hAnsi="Avenir Book" w:cs="Times New Roman"/>
          <w:sz w:val="24"/>
          <w:szCs w:val="24"/>
        </w:rPr>
        <w:t>), we have to keep in mind the “language of the work of art</w:t>
      </w:r>
      <w:r w:rsidR="005E4E68">
        <w:rPr>
          <w:rFonts w:ascii="Avenir Book" w:hAnsi="Avenir Book" w:cs="Times New Roman"/>
          <w:sz w:val="24"/>
          <w:szCs w:val="24"/>
        </w:rPr>
        <w:t>,</w:t>
      </w:r>
      <w:r w:rsidRPr="00CC7F41">
        <w:rPr>
          <w:rFonts w:ascii="Avenir Book" w:hAnsi="Avenir Book" w:cs="Times New Roman"/>
          <w:sz w:val="24"/>
          <w:szCs w:val="24"/>
        </w:rPr>
        <w:t>” “language of gesture, facial expression, and movement</w:t>
      </w:r>
      <w:r w:rsidR="005E4E68">
        <w:rPr>
          <w:rFonts w:ascii="Avenir Book" w:hAnsi="Avenir Book" w:cs="Times New Roman"/>
          <w:sz w:val="24"/>
          <w:szCs w:val="24"/>
        </w:rPr>
        <w:t>,</w:t>
      </w:r>
      <w:r w:rsidRPr="00CC7F41">
        <w:rPr>
          <w:rFonts w:ascii="Avenir Book" w:hAnsi="Avenir Book" w:cs="Times New Roman"/>
          <w:sz w:val="24"/>
          <w:szCs w:val="24"/>
        </w:rPr>
        <w:t>” since all these form</w:t>
      </w:r>
      <w:r w:rsidR="005E4E68">
        <w:rPr>
          <w:rFonts w:ascii="Avenir Book" w:hAnsi="Avenir Book" w:cs="Times New Roman"/>
          <w:sz w:val="24"/>
          <w:szCs w:val="24"/>
        </w:rPr>
        <w:t xml:space="preserve"> </w:t>
      </w:r>
      <w:r w:rsidRPr="00CC7F41">
        <w:rPr>
          <w:rFonts w:ascii="Avenir Book" w:hAnsi="Avenir Book" w:cs="Times New Roman"/>
          <w:sz w:val="24"/>
          <w:szCs w:val="24"/>
        </w:rPr>
        <w:t>fulfil the requirement of language by being “original media in which the world presents itself</w:t>
      </w:r>
      <w:r w:rsidR="005E4E68">
        <w:rPr>
          <w:rFonts w:ascii="Avenir Book" w:hAnsi="Avenir Book" w:cs="Times New Roman"/>
          <w:sz w:val="24"/>
          <w:szCs w:val="24"/>
        </w:rPr>
        <w:t>.</w:t>
      </w:r>
      <w:r w:rsidRPr="00CC7F41">
        <w:rPr>
          <w:rFonts w:ascii="Avenir Book" w:hAnsi="Avenir Book" w:cs="Times New Roman"/>
          <w:sz w:val="24"/>
          <w:szCs w:val="24"/>
        </w:rPr>
        <w:t>”</w:t>
      </w:r>
      <w:r w:rsidR="005E4E68">
        <w:rPr>
          <w:rStyle w:val="FootnoteReference"/>
          <w:rFonts w:ascii="Avenir Book" w:hAnsi="Avenir Book" w:cs="Times New Roman"/>
          <w:sz w:val="24"/>
          <w:szCs w:val="24"/>
        </w:rPr>
        <w:footnoteReference w:id="9"/>
      </w:r>
      <w:r w:rsidRPr="00CC7F41">
        <w:rPr>
          <w:rFonts w:ascii="Avenir Book" w:hAnsi="Avenir Book" w:cs="Times New Roman"/>
          <w:sz w:val="24"/>
          <w:szCs w:val="24"/>
        </w:rPr>
        <w:t xml:space="preserve"> (9). Thus, the defining characteristic of language and what makes it meaningful is the fact that “in language the world itself presents itself</w:t>
      </w:r>
      <w:r w:rsidR="005E4E68">
        <w:rPr>
          <w:rFonts w:ascii="Avenir Book" w:hAnsi="Avenir Book" w:cs="Times New Roman"/>
          <w:sz w:val="24"/>
          <w:szCs w:val="24"/>
        </w:rPr>
        <w:t>.</w:t>
      </w:r>
      <w:r w:rsidRPr="00CC7F41">
        <w:rPr>
          <w:rFonts w:ascii="Avenir Book" w:hAnsi="Avenir Book" w:cs="Times New Roman"/>
          <w:sz w:val="24"/>
          <w:szCs w:val="24"/>
        </w:rPr>
        <w:t>”</w:t>
      </w:r>
      <w:r w:rsidR="005E4E68">
        <w:rPr>
          <w:rStyle w:val="FootnoteReference"/>
          <w:rFonts w:ascii="Avenir Book" w:hAnsi="Avenir Book" w:cs="Times New Roman"/>
          <w:sz w:val="24"/>
          <w:szCs w:val="24"/>
        </w:rPr>
        <w:footnoteReference w:id="10"/>
      </w:r>
      <w:r w:rsidRPr="00CC7F41">
        <w:rPr>
          <w:rFonts w:ascii="Avenir Book" w:hAnsi="Avenir Book" w:cs="Times New Roman"/>
          <w:sz w:val="24"/>
          <w:szCs w:val="24"/>
        </w:rPr>
        <w:t xml:space="preserve"> The authors therefore state that, “[m]eaning is an event in which the self-presentation of the world is accomplished</w:t>
      </w:r>
      <w:r w:rsidR="0019435A">
        <w:rPr>
          <w:rFonts w:ascii="Avenir Book" w:hAnsi="Avenir Book" w:cs="Times New Roman"/>
          <w:sz w:val="24"/>
          <w:szCs w:val="24"/>
        </w:rPr>
        <w:t>.</w:t>
      </w:r>
      <w:r w:rsidRPr="00CC7F41">
        <w:rPr>
          <w:rFonts w:ascii="Avenir Book" w:hAnsi="Avenir Book" w:cs="Times New Roman"/>
          <w:sz w:val="24"/>
          <w:szCs w:val="24"/>
        </w:rPr>
        <w:t>”</w:t>
      </w:r>
      <w:r w:rsidR="0019435A">
        <w:rPr>
          <w:rStyle w:val="FootnoteReference"/>
          <w:rFonts w:ascii="Avenir Book" w:hAnsi="Avenir Book" w:cs="Times New Roman"/>
          <w:sz w:val="24"/>
          <w:szCs w:val="24"/>
        </w:rPr>
        <w:footnoteReference w:id="11"/>
      </w:r>
      <w:r w:rsidRPr="00CC7F41">
        <w:rPr>
          <w:rFonts w:ascii="Avenir Book" w:hAnsi="Avenir Book" w:cs="Times New Roman"/>
          <w:sz w:val="24"/>
          <w:szCs w:val="24"/>
        </w:rPr>
        <w:t xml:space="preserve"> </w:t>
      </w:r>
    </w:p>
    <w:p w14:paraId="69163A78" w14:textId="23D3BE12"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 xml:space="preserve">There are critical remarks to make here. First, an obvious analogy of an event of meaning would be speech acts as described by Austin and Searle. And in fact, DaVia </w:t>
      </w:r>
      <w:r w:rsidRPr="00CC7F41">
        <w:rPr>
          <w:rFonts w:ascii="Avenir Book" w:hAnsi="Avenir Book" w:cs="Times New Roman"/>
          <w:sz w:val="24"/>
          <w:szCs w:val="24"/>
        </w:rPr>
        <w:lastRenderedPageBreak/>
        <w:t>and Lynch conceive of it similarly to speech acts. But Austin and Searle specify previously given forms of speech acts (</w:t>
      </w:r>
      <w:r w:rsidR="003579CB">
        <w:rPr>
          <w:rFonts w:ascii="Avenir Book" w:hAnsi="Avenir Book" w:cs="Times New Roman"/>
          <w:sz w:val="24"/>
          <w:szCs w:val="24"/>
        </w:rPr>
        <w:t xml:space="preserve">that is, </w:t>
      </w:r>
      <w:r w:rsidRPr="00CC7F41">
        <w:rPr>
          <w:rFonts w:ascii="Avenir Book" w:hAnsi="Avenir Book" w:cs="Times New Roman"/>
          <w:sz w:val="24"/>
          <w:szCs w:val="24"/>
        </w:rPr>
        <w:t xml:space="preserve">ways to do something, e.g., to curse, marry someone, to give a name, etc.). It is far from being evident that Gadamer’s description of understanding can be grasped this way, since the individuality of what should be understood is not taken into account. In other words, the question of </w:t>
      </w:r>
      <w:r w:rsidRPr="00CC7F41">
        <w:rPr>
          <w:rFonts w:ascii="Avenir Book" w:hAnsi="Avenir Book" w:cs="Times New Roman"/>
          <w:i/>
          <w:iCs/>
          <w:sz w:val="24"/>
          <w:szCs w:val="24"/>
        </w:rPr>
        <w:t>what</w:t>
      </w:r>
      <w:r w:rsidRPr="00CC7F41">
        <w:rPr>
          <w:rFonts w:ascii="Avenir Book" w:hAnsi="Avenir Book" w:cs="Times New Roman"/>
          <w:sz w:val="24"/>
          <w:szCs w:val="24"/>
        </w:rPr>
        <w:t xml:space="preserve"> it is exactly that is accomplished in the event of meaning seems not to be sufficiently clarified.</w:t>
      </w:r>
    </w:p>
    <w:p w14:paraId="14CDEAE2" w14:textId="1B6DEFD0"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Second, the authors neglect an important influence on Gadamer, namely the phenomenological tradition mediated mostly by Heidegger. One can say that he is elaborating a “phenomenology of understanding” that can be characterized by the primacy of the first-person perspective. Gadamer does not try to look at the process of understanding from above, from a bird’s-eye view; rather, he carefully describes how the meaning of a text or an artwork comes to be understood from the perspective of the interpreter. The unexplored connection to the phenomenological tradition can be observed in passages like Gadamer’s “rejecting the idea that the being of things lies forever beyond the grasp of human understanding, the idea of an unknowable thing-in-itself</w:t>
      </w:r>
      <w:r w:rsidR="003579CB">
        <w:rPr>
          <w:rFonts w:ascii="Avenir Book" w:hAnsi="Avenir Book" w:cs="Times New Roman"/>
          <w:sz w:val="24"/>
          <w:szCs w:val="24"/>
        </w:rPr>
        <w:t>,</w:t>
      </w:r>
      <w:r w:rsidRPr="00CC7F41">
        <w:rPr>
          <w:rFonts w:ascii="Avenir Book" w:hAnsi="Avenir Book" w:cs="Times New Roman"/>
          <w:sz w:val="24"/>
          <w:szCs w:val="24"/>
        </w:rPr>
        <w:t>” or that “being is self-presentation</w:t>
      </w:r>
      <w:r w:rsidR="0019435A">
        <w:rPr>
          <w:rFonts w:ascii="Avenir Book" w:hAnsi="Avenir Book" w:cs="Times New Roman"/>
          <w:sz w:val="24"/>
          <w:szCs w:val="24"/>
        </w:rPr>
        <w:t>.</w:t>
      </w:r>
      <w:r w:rsidRPr="00CC7F41">
        <w:rPr>
          <w:rFonts w:ascii="Avenir Book" w:hAnsi="Avenir Book" w:cs="Times New Roman"/>
          <w:sz w:val="24"/>
          <w:szCs w:val="24"/>
        </w:rPr>
        <w:t>”</w:t>
      </w:r>
      <w:r w:rsidR="0019435A">
        <w:rPr>
          <w:rStyle w:val="FootnoteReference"/>
          <w:rFonts w:ascii="Avenir Book" w:hAnsi="Avenir Book" w:cs="Times New Roman"/>
          <w:sz w:val="24"/>
          <w:szCs w:val="24"/>
        </w:rPr>
        <w:footnoteReference w:id="12"/>
      </w:r>
      <w:r w:rsidRPr="00CC7F41">
        <w:rPr>
          <w:rFonts w:ascii="Avenir Book" w:hAnsi="Avenir Book" w:cs="Times New Roman"/>
          <w:sz w:val="24"/>
          <w:szCs w:val="24"/>
        </w:rPr>
        <w:t xml:space="preserve"> </w:t>
      </w:r>
    </w:p>
    <w:p w14:paraId="3AB8990C" w14:textId="0301029C"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Third, and most importantly, we need to separate more clearly between sentence-level and text-level. And with this distinction in mind, one can see that Gadamer’s hermeneutics is concerned with the text-level. To make this point plain, it is instructive to remind that Frege’s two interdependent principles</w:t>
      </w:r>
      <w:r w:rsidR="003579CB">
        <w:rPr>
          <w:rFonts w:ascii="Avenir Book" w:hAnsi="Avenir Book" w:cs="Times New Roman"/>
          <w:sz w:val="24"/>
          <w:szCs w:val="24"/>
        </w:rPr>
        <w:t>––</w:t>
      </w:r>
      <w:r w:rsidRPr="00CC7F41">
        <w:rPr>
          <w:rFonts w:ascii="Avenir Book" w:hAnsi="Avenir Book" w:cs="Times New Roman"/>
          <w:sz w:val="24"/>
          <w:szCs w:val="24"/>
        </w:rPr>
        <w:t>the context principle and the semantic compositionality principle</w:t>
      </w:r>
      <w:r w:rsidR="003579CB">
        <w:rPr>
          <w:rFonts w:ascii="Avenir Book" w:hAnsi="Avenir Book" w:cs="Times New Roman"/>
          <w:sz w:val="24"/>
          <w:szCs w:val="24"/>
        </w:rPr>
        <w:t>––</w:t>
      </w:r>
      <w:r w:rsidRPr="00CC7F41">
        <w:rPr>
          <w:rFonts w:ascii="Avenir Book" w:hAnsi="Avenir Book" w:cs="Times New Roman"/>
          <w:sz w:val="24"/>
          <w:szCs w:val="24"/>
        </w:rPr>
        <w:t xml:space="preserve">apply only to the sentence level. They make no sense for larger meaningful or significant units like texts and artworks. As is well-known, the semantic compositionality principle says that the meaning of a sentence depends on the meaning of the parts and their connection, while the context principle contends that it is only in the context of a proposition that words have meaning. Frege’s rejection of semantic atomism implies that contextless or isolated words do not mean enough to say something. But Frege did not care about the broader context constituted by a text, since he was convinced that the meaning of the text could be understood by adding the meanings of the single propositions </w:t>
      </w:r>
      <w:r w:rsidRPr="00CC7F41">
        <w:rPr>
          <w:rFonts w:ascii="Avenir Book" w:hAnsi="Avenir Book" w:cs="Times New Roman"/>
          <w:sz w:val="24"/>
          <w:szCs w:val="24"/>
        </w:rPr>
        <w:lastRenderedPageBreak/>
        <w:t>constituting the text. Thus, the attempt to apply the idea of context-dependence to bigger significant units leads to the hermeneutic circle.</w:t>
      </w:r>
    </w:p>
    <w:p w14:paraId="56D43CFF" w14:textId="506D7558"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This point can be supported by considering the context principle and the principle of compositionality in their interdependence: Frege urges the exploration of how different linguistic expressions have an effect on the meaning of the sentence. But it is exactly what cannot be done in a systematic or methodologically controlled manner in the case of a text or artwork. There is no method to figure out how an individual phrase, sentence</w:t>
      </w:r>
      <w:r w:rsidR="003579CB">
        <w:rPr>
          <w:rFonts w:ascii="Avenir Book" w:hAnsi="Avenir Book" w:cs="Times New Roman"/>
          <w:sz w:val="24"/>
          <w:szCs w:val="24"/>
        </w:rPr>
        <w:t>,</w:t>
      </w:r>
      <w:r w:rsidRPr="00CC7F41">
        <w:rPr>
          <w:rFonts w:ascii="Avenir Book" w:hAnsi="Avenir Book" w:cs="Times New Roman"/>
          <w:sz w:val="24"/>
          <w:szCs w:val="24"/>
        </w:rPr>
        <w:t xml:space="preserve"> or proposition contributes to the meaning of the whole</w:t>
      </w:r>
      <w:r w:rsidR="003579CB">
        <w:rPr>
          <w:rFonts w:ascii="Avenir Book" w:hAnsi="Avenir Book" w:cs="Times New Roman"/>
          <w:sz w:val="24"/>
          <w:szCs w:val="24"/>
        </w:rPr>
        <w:t>––</w:t>
      </w:r>
      <w:r w:rsidRPr="00CC7F41">
        <w:rPr>
          <w:rFonts w:ascii="Avenir Book" w:hAnsi="Avenir Book" w:cs="Times New Roman"/>
          <w:sz w:val="24"/>
          <w:szCs w:val="24"/>
        </w:rPr>
        <w:t xml:space="preserve"> and this is the kernel of the idea of the hermeneutic circle. On the other hand, Gadamer </w:t>
      </w:r>
      <w:r w:rsidR="003579CB">
        <w:rPr>
          <w:rFonts w:ascii="Avenir Book" w:hAnsi="Avenir Book" w:cs="Times New Roman"/>
          <w:sz w:val="24"/>
          <w:szCs w:val="24"/>
        </w:rPr>
        <w:t>does not say</w:t>
      </w:r>
      <w:r w:rsidRPr="00CC7F41">
        <w:rPr>
          <w:rFonts w:ascii="Avenir Book" w:hAnsi="Avenir Book" w:cs="Times New Roman"/>
          <w:sz w:val="24"/>
          <w:szCs w:val="24"/>
        </w:rPr>
        <w:t xml:space="preserve"> much about how isolated words have a meaning beyond the fact that “[u]nderstanding how to speak is not yet of itself real understanding and does not involve an interpretive process; it is an accomplishment of life. For you understand a language by living in it</w:t>
      </w:r>
      <w:r w:rsidR="00155FE3">
        <w:rPr>
          <w:rFonts w:ascii="Avenir Book" w:hAnsi="Avenir Book" w:cs="Times New Roman"/>
          <w:sz w:val="24"/>
          <w:szCs w:val="24"/>
        </w:rPr>
        <w:t>.</w:t>
      </w:r>
      <w:r w:rsidRPr="00CC7F41">
        <w:rPr>
          <w:rFonts w:ascii="Avenir Book" w:hAnsi="Avenir Book" w:cs="Times New Roman"/>
          <w:sz w:val="24"/>
          <w:szCs w:val="24"/>
        </w:rPr>
        <w:t>”</w:t>
      </w:r>
      <w:r w:rsidR="00155FE3">
        <w:rPr>
          <w:rStyle w:val="FootnoteReference"/>
          <w:rFonts w:ascii="Avenir Book" w:hAnsi="Avenir Book" w:cs="Times New Roman"/>
          <w:sz w:val="24"/>
          <w:szCs w:val="24"/>
        </w:rPr>
        <w:footnoteReference w:id="13"/>
      </w:r>
      <w:r w:rsidRPr="00CC7F41">
        <w:rPr>
          <w:rFonts w:ascii="Avenir Book" w:hAnsi="Avenir Book" w:cs="Times New Roman"/>
          <w:sz w:val="24"/>
          <w:szCs w:val="24"/>
        </w:rPr>
        <w:t xml:space="preserve"> </w:t>
      </w:r>
    </w:p>
    <w:p w14:paraId="2734E219" w14:textId="394377CA"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 xml:space="preserve">The position of event semantics is close to radical contextualism which DaVia and Lynch summarize as the following pair of claims: first, “every linguistic expression </w:t>
      </w:r>
      <w:r w:rsidR="00155FE3" w:rsidRPr="00CC7F41">
        <w:rPr>
          <w:rFonts w:ascii="Avenir Book" w:hAnsi="Avenir Book" w:cs="Times New Roman"/>
          <w:sz w:val="24"/>
          <w:szCs w:val="24"/>
        </w:rPr>
        <w:t>[</w:t>
      </w:r>
      <w:r w:rsidR="00155FE3">
        <w:rPr>
          <w:rFonts w:ascii="Avenir Book" w:hAnsi="Avenir Book" w:cs="Times New Roman"/>
          <w:sz w:val="24"/>
          <w:szCs w:val="24"/>
        </w:rPr>
        <w:t xml:space="preserve">. . . </w:t>
      </w:r>
      <w:r w:rsidR="00155FE3" w:rsidRPr="00CC7F41">
        <w:rPr>
          <w:rFonts w:ascii="Avenir Book" w:hAnsi="Avenir Book" w:cs="Times New Roman"/>
          <w:sz w:val="24"/>
          <w:szCs w:val="24"/>
        </w:rPr>
        <w:t xml:space="preserve">] </w:t>
      </w:r>
      <w:r w:rsidRPr="00CC7F41">
        <w:rPr>
          <w:rFonts w:ascii="Avenir Book" w:hAnsi="Avenir Book" w:cs="Times New Roman"/>
          <w:sz w:val="24"/>
          <w:szCs w:val="24"/>
        </w:rPr>
        <w:t xml:space="preserve">is </w:t>
      </w:r>
      <w:r w:rsidRPr="00CC7F41">
        <w:rPr>
          <w:rFonts w:ascii="Avenir Book" w:hAnsi="Avenir Book" w:cs="Times New Roman"/>
          <w:i/>
          <w:iCs/>
          <w:sz w:val="24"/>
          <w:szCs w:val="24"/>
        </w:rPr>
        <w:t>context-sensitive</w:t>
      </w:r>
      <w:r w:rsidRPr="00CC7F41">
        <w:rPr>
          <w:rFonts w:ascii="Avenir Book" w:hAnsi="Avenir Book" w:cs="Times New Roman"/>
          <w:sz w:val="24"/>
          <w:szCs w:val="24"/>
        </w:rPr>
        <w:t xml:space="preserve"> in the sense that what the expression means depends in part on the circumstances in which it is deployed</w:t>
      </w:r>
      <w:r w:rsidR="00155FE3">
        <w:rPr>
          <w:rFonts w:ascii="Avenir Book" w:hAnsi="Avenir Book" w:cs="Times New Roman"/>
          <w:sz w:val="24"/>
          <w:szCs w:val="24"/>
        </w:rPr>
        <w:t>,</w:t>
      </w:r>
      <w:r w:rsidRPr="00CC7F41">
        <w:rPr>
          <w:rFonts w:ascii="Avenir Book" w:hAnsi="Avenir Book" w:cs="Times New Roman"/>
          <w:sz w:val="24"/>
          <w:szCs w:val="24"/>
        </w:rPr>
        <w:t xml:space="preserve">” and second, “this context-sensitivity is </w:t>
      </w:r>
      <w:r w:rsidRPr="00CC7F41">
        <w:rPr>
          <w:rFonts w:ascii="Avenir Book" w:hAnsi="Avenir Book" w:cs="Times New Roman"/>
          <w:i/>
          <w:iCs/>
          <w:sz w:val="24"/>
          <w:szCs w:val="24"/>
        </w:rPr>
        <w:t>irreducible</w:t>
      </w:r>
      <w:r w:rsidR="00155FE3">
        <w:rPr>
          <w:rFonts w:ascii="Avenir Book" w:hAnsi="Avenir Book" w:cs="Times New Roman"/>
          <w:i/>
          <w:iCs/>
          <w:sz w:val="24"/>
          <w:szCs w:val="24"/>
        </w:rPr>
        <w:t>.</w:t>
      </w:r>
      <w:r w:rsidRPr="00CC7F41">
        <w:rPr>
          <w:rFonts w:ascii="Avenir Book" w:hAnsi="Avenir Book" w:cs="Times New Roman"/>
          <w:sz w:val="24"/>
          <w:szCs w:val="24"/>
        </w:rPr>
        <w:t>”</w:t>
      </w:r>
      <w:r w:rsidR="00155FE3">
        <w:rPr>
          <w:rStyle w:val="FootnoteReference"/>
          <w:rFonts w:ascii="Avenir Book" w:hAnsi="Avenir Book" w:cs="Times New Roman"/>
          <w:sz w:val="24"/>
          <w:szCs w:val="24"/>
        </w:rPr>
        <w:footnoteReference w:id="14"/>
      </w:r>
      <w:r w:rsidRPr="00CC7F41">
        <w:rPr>
          <w:rFonts w:ascii="Avenir Book" w:hAnsi="Avenir Book" w:cs="Times New Roman"/>
          <w:sz w:val="24"/>
          <w:szCs w:val="24"/>
        </w:rPr>
        <w:t xml:space="preserve"> In Gadamer’s hermeneutics, the “occasion” will be what determines the meaning of our utterances, while it cannot be identified as a precise set of discrete facts. The authors claim that to be familiar with the “occasion” includes “the whole topography of our being-in-the-world</w:t>
      </w:r>
      <w:r w:rsidR="00155FE3">
        <w:rPr>
          <w:rFonts w:ascii="Avenir Book" w:hAnsi="Avenir Book" w:cs="Times New Roman"/>
          <w:sz w:val="24"/>
          <w:szCs w:val="24"/>
        </w:rPr>
        <w:t>.</w:t>
      </w:r>
      <w:r w:rsidRPr="00CC7F41">
        <w:rPr>
          <w:rFonts w:ascii="Avenir Book" w:hAnsi="Avenir Book" w:cs="Times New Roman"/>
          <w:sz w:val="24"/>
          <w:szCs w:val="24"/>
        </w:rPr>
        <w:t>”</w:t>
      </w:r>
      <w:r w:rsidR="00155FE3">
        <w:rPr>
          <w:rStyle w:val="FootnoteReference"/>
          <w:rFonts w:ascii="Avenir Book" w:hAnsi="Avenir Book" w:cs="Times New Roman"/>
          <w:sz w:val="24"/>
          <w:szCs w:val="24"/>
        </w:rPr>
        <w:footnoteReference w:id="15"/>
      </w:r>
      <w:r w:rsidRPr="00CC7F41">
        <w:rPr>
          <w:rFonts w:ascii="Avenir Book" w:hAnsi="Avenir Book" w:cs="Times New Roman"/>
          <w:sz w:val="24"/>
          <w:szCs w:val="24"/>
        </w:rPr>
        <w:t xml:space="preserve"> They quote a strong passage from </w:t>
      </w:r>
      <w:r w:rsidR="00155FE3">
        <w:rPr>
          <w:rFonts w:ascii="Avenir Book" w:hAnsi="Avenir Book" w:cs="Times New Roman"/>
          <w:i/>
          <w:iCs/>
          <w:sz w:val="24"/>
          <w:szCs w:val="24"/>
        </w:rPr>
        <w:t>Truth and Method</w:t>
      </w:r>
      <w:r w:rsidR="00155FE3" w:rsidRPr="00CC7F41">
        <w:rPr>
          <w:rFonts w:ascii="Avenir Book" w:hAnsi="Avenir Book" w:cs="Times New Roman"/>
          <w:sz w:val="24"/>
          <w:szCs w:val="24"/>
        </w:rPr>
        <w:t xml:space="preserve"> </w:t>
      </w:r>
      <w:r w:rsidRPr="00CC7F41">
        <w:rPr>
          <w:rFonts w:ascii="Avenir Book" w:hAnsi="Avenir Book" w:cs="Times New Roman"/>
          <w:sz w:val="24"/>
          <w:szCs w:val="24"/>
        </w:rPr>
        <w:t>which is hard to defend: “Every word causes the whole of the language to which it belongs to resonate and the whole world-view that underlies it to appear.”</w:t>
      </w:r>
      <w:r w:rsidR="00155FE3">
        <w:rPr>
          <w:rStyle w:val="FootnoteReference"/>
          <w:rFonts w:ascii="Avenir Book" w:hAnsi="Avenir Book" w:cs="Times New Roman"/>
          <w:sz w:val="24"/>
          <w:szCs w:val="24"/>
        </w:rPr>
        <w:footnoteReference w:id="16"/>
      </w:r>
      <w:r w:rsidRPr="00CC7F41">
        <w:rPr>
          <w:rFonts w:ascii="Avenir Book" w:hAnsi="Avenir Book" w:cs="Times New Roman"/>
          <w:sz w:val="24"/>
          <w:szCs w:val="24"/>
        </w:rPr>
        <w:t xml:space="preserve"> </w:t>
      </w:r>
    </w:p>
    <w:p w14:paraId="32D29C4B" w14:textId="4DA29AF5"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 xml:space="preserve">It should be noted that the authors also quote the primacy of question over statements, but not from </w:t>
      </w:r>
      <w:r w:rsidR="00155FE3">
        <w:rPr>
          <w:rFonts w:ascii="Avenir Book" w:hAnsi="Avenir Book" w:cs="Times New Roman"/>
          <w:i/>
          <w:iCs/>
          <w:sz w:val="24"/>
          <w:szCs w:val="24"/>
        </w:rPr>
        <w:t>Truth and Method</w:t>
      </w:r>
      <w:r w:rsidRPr="00CC7F41">
        <w:rPr>
          <w:rFonts w:ascii="Avenir Book" w:hAnsi="Avenir Book" w:cs="Times New Roman"/>
          <w:sz w:val="24"/>
          <w:szCs w:val="24"/>
        </w:rPr>
        <w:t xml:space="preserve">, and so they neglect the “logic of question and answer” which is not only Collingwood’s idea but also related to Plato’s dialogues. Collingwood is somewhat downplayed, for although he is mentioned, the situational embeddedness of statements is developed without referring to him. DaVia and Lynch </w:t>
      </w:r>
      <w:r w:rsidRPr="00CC7F41">
        <w:rPr>
          <w:rFonts w:ascii="Avenir Book" w:hAnsi="Avenir Book" w:cs="Times New Roman"/>
          <w:sz w:val="24"/>
          <w:szCs w:val="24"/>
        </w:rPr>
        <w:lastRenderedPageBreak/>
        <w:t>contend that this primacy is important for Gadamer as a precondition of understanding. At this point, one could add that Heidegger already saw the task of philosophy in questioning rather than problem solving</w:t>
      </w:r>
      <w:r w:rsidR="00155FE3">
        <w:rPr>
          <w:rFonts w:ascii="Avenir Book" w:hAnsi="Avenir Book" w:cs="Times New Roman"/>
          <w:sz w:val="24"/>
          <w:szCs w:val="24"/>
        </w:rPr>
        <w:t>––</w:t>
      </w:r>
      <w:r w:rsidRPr="00CC7F41">
        <w:rPr>
          <w:rFonts w:ascii="Avenir Book" w:hAnsi="Avenir Book" w:cs="Times New Roman"/>
          <w:sz w:val="24"/>
          <w:szCs w:val="24"/>
        </w:rPr>
        <w:t>the early Aristotle research paper talks about “radical questioning</w:t>
      </w:r>
      <w:r w:rsidR="00024695">
        <w:rPr>
          <w:rFonts w:ascii="Avenir Book" w:hAnsi="Avenir Book" w:cs="Times New Roman"/>
          <w:sz w:val="24"/>
          <w:szCs w:val="24"/>
        </w:rPr>
        <w:t>.</w:t>
      </w:r>
      <w:r w:rsidRPr="00CC7F41">
        <w:rPr>
          <w:rFonts w:ascii="Avenir Book" w:hAnsi="Avenir Book" w:cs="Times New Roman"/>
          <w:sz w:val="24"/>
          <w:szCs w:val="24"/>
        </w:rPr>
        <w:t>”</w:t>
      </w:r>
      <w:r w:rsidRPr="00CC7F41">
        <w:rPr>
          <w:rStyle w:val="FootnoteReference"/>
          <w:rFonts w:ascii="Avenir Book" w:hAnsi="Avenir Book" w:cs="Times New Roman"/>
          <w:sz w:val="24"/>
          <w:szCs w:val="24"/>
        </w:rPr>
        <w:footnoteReference w:id="17"/>
      </w:r>
    </w:p>
    <w:p w14:paraId="54C2C076" w14:textId="3F13BF6C" w:rsidR="00A21EE6" w:rsidRPr="00CC7F41" w:rsidRDefault="00A21EE6" w:rsidP="00A21EE6">
      <w:pPr>
        <w:spacing w:after="0"/>
        <w:ind w:firstLine="708"/>
        <w:rPr>
          <w:rFonts w:ascii="Avenir Book" w:hAnsi="Avenir Book" w:cs="Times New Roman"/>
          <w:iCs/>
          <w:sz w:val="24"/>
          <w:szCs w:val="24"/>
        </w:rPr>
      </w:pPr>
      <w:r w:rsidRPr="00CC7F41">
        <w:rPr>
          <w:rFonts w:ascii="Avenir Book" w:hAnsi="Avenir Book" w:cs="Times New Roman"/>
          <w:sz w:val="24"/>
          <w:szCs w:val="24"/>
        </w:rPr>
        <w:t>The authors summarize Gadamer’s conception concerning the problem of understanding across contexts as follows: “language whose meaning is shareable across contexts</w:t>
      </w:r>
      <w:r w:rsidR="00155FE3">
        <w:rPr>
          <w:rFonts w:ascii="Avenir Book" w:hAnsi="Avenir Book" w:cs="Times New Roman"/>
          <w:sz w:val="24"/>
          <w:szCs w:val="24"/>
        </w:rPr>
        <w:t>––</w:t>
      </w:r>
      <w:r w:rsidRPr="00CC7F41">
        <w:rPr>
          <w:rFonts w:ascii="Avenir Book" w:hAnsi="Avenir Book" w:cs="Times New Roman"/>
          <w:sz w:val="24"/>
          <w:szCs w:val="24"/>
        </w:rPr>
        <w:t xml:space="preserve">namely, language that constitutes the vocative, unified whole of a </w:t>
      </w:r>
      <w:r w:rsidRPr="00CC7F41">
        <w:rPr>
          <w:rFonts w:ascii="Avenir Book" w:hAnsi="Avenir Book" w:cs="Times New Roman"/>
          <w:i/>
          <w:iCs/>
          <w:sz w:val="24"/>
          <w:szCs w:val="24"/>
        </w:rPr>
        <w:t>Gebilde</w:t>
      </w:r>
      <w:r w:rsidRPr="00CC7F41">
        <w:rPr>
          <w:rFonts w:ascii="Avenir Book" w:hAnsi="Avenir Book" w:cs="Times New Roman"/>
          <w:sz w:val="24"/>
          <w:szCs w:val="24"/>
        </w:rPr>
        <w:t xml:space="preserve"> or a text</w:t>
      </w:r>
      <w:r w:rsidR="00155FE3">
        <w:rPr>
          <w:rFonts w:ascii="Avenir Book" w:hAnsi="Avenir Book" w:cs="Times New Roman"/>
          <w:sz w:val="24"/>
          <w:szCs w:val="24"/>
        </w:rPr>
        <w:t>––</w:t>
      </w:r>
      <w:r w:rsidRPr="00CC7F41">
        <w:rPr>
          <w:rFonts w:ascii="Avenir Book" w:hAnsi="Avenir Book" w:cs="Times New Roman"/>
          <w:sz w:val="24"/>
          <w:szCs w:val="24"/>
        </w:rPr>
        <w:t xml:space="preserve">is such that its meaning is filled out not by the situation in which it was first produced but by the situation in which it is understood. In each of these cases meaning is filled out differently, and this is why we must always </w:t>
      </w:r>
      <w:r w:rsidR="00155FE3">
        <w:rPr>
          <w:rFonts w:ascii="Avenir Book" w:hAnsi="Avenir Book" w:cs="Times New Roman"/>
          <w:sz w:val="24"/>
          <w:szCs w:val="24"/>
        </w:rPr>
        <w:t>[as Gadamer states</w:t>
      </w:r>
      <w:r w:rsidR="003579CB">
        <w:rPr>
          <w:rFonts w:ascii="Avenir Book" w:hAnsi="Avenir Book" w:cs="Times New Roman"/>
          <w:sz w:val="24"/>
          <w:szCs w:val="24"/>
        </w:rPr>
        <w:t xml:space="preserve">] </w:t>
      </w:r>
      <w:r w:rsidR="00155FE3">
        <w:rPr>
          <w:rFonts w:ascii="Avenir Book" w:hAnsi="Avenir Book" w:cs="Times New Roman"/>
          <w:sz w:val="24"/>
          <w:szCs w:val="24"/>
        </w:rPr>
        <w:t>‘</w:t>
      </w:r>
      <w:r w:rsidRPr="00CC7F41">
        <w:rPr>
          <w:rFonts w:ascii="Avenir Book" w:hAnsi="Avenir Book" w:cs="Times New Roman"/>
          <w:sz w:val="24"/>
          <w:szCs w:val="24"/>
        </w:rPr>
        <w:t>understand in a different way, if we understand at all</w:t>
      </w:r>
      <w:r w:rsidR="003579CB">
        <w:rPr>
          <w:rFonts w:ascii="Avenir Book" w:hAnsi="Avenir Book" w:cs="Times New Roman"/>
          <w:sz w:val="24"/>
          <w:szCs w:val="24"/>
        </w:rPr>
        <w:t>’</w:t>
      </w:r>
      <w:r w:rsidRPr="00CC7F41">
        <w:rPr>
          <w:rFonts w:ascii="Avenir Book" w:hAnsi="Avenir Book" w:cs="Times New Roman"/>
          <w:sz w:val="24"/>
          <w:szCs w:val="24"/>
        </w:rPr>
        <w:t xml:space="preserve"> (TM, 307/GW 1:302)</w:t>
      </w:r>
      <w:r w:rsidR="003579CB">
        <w:rPr>
          <w:rFonts w:ascii="Avenir Book" w:hAnsi="Avenir Book" w:cs="Times New Roman"/>
          <w:sz w:val="24"/>
          <w:szCs w:val="24"/>
        </w:rPr>
        <w:t>.</w:t>
      </w:r>
      <w:r w:rsidRPr="00CC7F41">
        <w:rPr>
          <w:rFonts w:ascii="Avenir Book" w:hAnsi="Avenir Book" w:cs="Times New Roman"/>
          <w:sz w:val="24"/>
          <w:szCs w:val="24"/>
        </w:rPr>
        <w:t>”</w:t>
      </w:r>
      <w:r w:rsidR="003579CB">
        <w:rPr>
          <w:rStyle w:val="FootnoteReference"/>
          <w:rFonts w:ascii="Avenir Book" w:hAnsi="Avenir Book" w:cs="Times New Roman"/>
          <w:sz w:val="24"/>
          <w:szCs w:val="24"/>
        </w:rPr>
        <w:footnoteReference w:id="18"/>
      </w:r>
      <w:r w:rsidRPr="00CC7F41">
        <w:rPr>
          <w:rFonts w:ascii="Avenir Book" w:hAnsi="Avenir Book" w:cs="Times New Roman"/>
          <w:sz w:val="24"/>
          <w:szCs w:val="24"/>
        </w:rPr>
        <w:t xml:space="preserve"> The passage shows that the authors do</w:t>
      </w:r>
      <w:r w:rsidR="003579CB">
        <w:rPr>
          <w:rFonts w:ascii="Avenir Book" w:hAnsi="Avenir Book" w:cs="Times New Roman"/>
          <w:sz w:val="24"/>
          <w:szCs w:val="24"/>
        </w:rPr>
        <w:t xml:space="preserve"> not</w:t>
      </w:r>
      <w:r w:rsidRPr="00CC7F41">
        <w:rPr>
          <w:rFonts w:ascii="Avenir Book" w:hAnsi="Avenir Book" w:cs="Times New Roman"/>
          <w:sz w:val="24"/>
          <w:szCs w:val="24"/>
        </w:rPr>
        <w:t xml:space="preserve"> want to claim that Gadamer would have an explanation for how a word</w:t>
      </w:r>
      <w:r w:rsidR="003579CB">
        <w:rPr>
          <w:rFonts w:ascii="Avenir Book" w:hAnsi="Avenir Book" w:cs="Times New Roman"/>
          <w:sz w:val="24"/>
          <w:szCs w:val="24"/>
        </w:rPr>
        <w:t>––</w:t>
      </w:r>
      <w:r w:rsidRPr="00CC7F41">
        <w:rPr>
          <w:rFonts w:ascii="Avenir Book" w:hAnsi="Avenir Book" w:cs="Times New Roman"/>
          <w:sz w:val="24"/>
          <w:szCs w:val="24"/>
        </w:rPr>
        <w:t>not a text</w:t>
      </w:r>
      <w:r w:rsidR="003579CB">
        <w:rPr>
          <w:rFonts w:ascii="Avenir Book" w:hAnsi="Avenir Book" w:cs="Times New Roman"/>
          <w:sz w:val="24"/>
          <w:szCs w:val="24"/>
        </w:rPr>
        <w:t>––</w:t>
      </w:r>
      <w:r w:rsidRPr="00CC7F41">
        <w:rPr>
          <w:rFonts w:ascii="Avenir Book" w:hAnsi="Avenir Book" w:cs="Times New Roman"/>
          <w:sz w:val="24"/>
          <w:szCs w:val="24"/>
        </w:rPr>
        <w:t>could have a meaning across contexts. And this objection</w:t>
      </w:r>
      <w:r w:rsidR="003579CB">
        <w:rPr>
          <w:rFonts w:ascii="Avenir Book" w:hAnsi="Avenir Book" w:cs="Times New Roman"/>
          <w:sz w:val="24"/>
          <w:szCs w:val="24"/>
        </w:rPr>
        <w:t>––</w:t>
      </w:r>
      <w:r w:rsidRPr="00CC7F41">
        <w:rPr>
          <w:rFonts w:ascii="Avenir Book" w:hAnsi="Avenir Book" w:cs="Times New Roman"/>
          <w:sz w:val="24"/>
          <w:szCs w:val="24"/>
        </w:rPr>
        <w:t>if it is an objection</w:t>
      </w:r>
      <w:r w:rsidR="003579CB">
        <w:rPr>
          <w:rFonts w:ascii="Avenir Book" w:hAnsi="Avenir Book" w:cs="Times New Roman"/>
          <w:sz w:val="24"/>
          <w:szCs w:val="24"/>
        </w:rPr>
        <w:t>––</w:t>
      </w:r>
      <w:r w:rsidRPr="00CC7F41">
        <w:rPr>
          <w:rFonts w:ascii="Avenir Book" w:hAnsi="Avenir Book" w:cs="Times New Roman"/>
          <w:sz w:val="24"/>
          <w:szCs w:val="24"/>
        </w:rPr>
        <w:t xml:space="preserve">might be confirmed from another angle: It is not </w:t>
      </w:r>
      <w:r w:rsidRPr="00CC7F41">
        <w:rPr>
          <w:rFonts w:ascii="Avenir Book" w:hAnsi="Avenir Book" w:cs="Times New Roman"/>
          <w:i/>
          <w:iCs/>
          <w:sz w:val="24"/>
          <w:szCs w:val="24"/>
        </w:rPr>
        <w:t>all</w:t>
      </w:r>
      <w:r w:rsidRPr="00CC7F41">
        <w:rPr>
          <w:rFonts w:ascii="Avenir Book" w:hAnsi="Avenir Book" w:cs="Times New Roman"/>
          <w:sz w:val="24"/>
          <w:szCs w:val="24"/>
        </w:rPr>
        <w:t xml:space="preserve"> texts that need an interpretation, only complex, complicated or “deep” ones or artworks. Reading a manual usually makes no interpretative effort necessary. And this idea we already find in Schleiermacher.</w:t>
      </w:r>
    </w:p>
    <w:p w14:paraId="4E5E5931" w14:textId="73A35A03" w:rsidR="00A21EE6" w:rsidRPr="00CC7F41" w:rsidRDefault="00A21EE6" w:rsidP="00A21EE6">
      <w:pPr>
        <w:spacing w:after="0"/>
        <w:ind w:firstLine="708"/>
        <w:rPr>
          <w:rFonts w:ascii="Avenir Book" w:hAnsi="Avenir Book" w:cs="Times New Roman"/>
          <w:sz w:val="24"/>
          <w:szCs w:val="24"/>
        </w:rPr>
      </w:pPr>
      <w:r w:rsidRPr="00CC7F41">
        <w:rPr>
          <w:rFonts w:ascii="Avenir Book" w:hAnsi="Avenir Book" w:cs="Times New Roman"/>
          <w:sz w:val="24"/>
          <w:szCs w:val="24"/>
        </w:rPr>
        <w:t xml:space="preserve">In the context of Gadamer’s view on essences, it is worth noting that his sympathy with Plato’s doctrine of forms or ideas can be characterized by an option for the one-world interpretation as opposed to the dualistic readings already proposed by Aristotle. A carefully developed statement of this reading has been provided by Wolfgang Wieland in his book </w:t>
      </w:r>
      <w:r w:rsidRPr="00CC7F41">
        <w:rPr>
          <w:rFonts w:ascii="Avenir Book" w:hAnsi="Avenir Book" w:cs="Times New Roman"/>
          <w:i/>
          <w:iCs/>
          <w:sz w:val="24"/>
          <w:szCs w:val="24"/>
        </w:rPr>
        <w:t>Platon und die Formen des Wissens</w:t>
      </w:r>
      <w:r w:rsidRPr="00CC7F41">
        <w:rPr>
          <w:rFonts w:ascii="Avenir Book" w:hAnsi="Avenir Book" w:cs="Times New Roman"/>
          <w:sz w:val="24"/>
          <w:szCs w:val="24"/>
        </w:rPr>
        <w:t xml:space="preserve"> (1982). The key claim of this reading that is relevant for our context is that knowing the ideas or forms (</w:t>
      </w:r>
      <w:r w:rsidRPr="00CC7F41">
        <w:rPr>
          <w:rFonts w:ascii="Avenir Book" w:hAnsi="Avenir Book" w:cs="Times New Roman"/>
          <w:i/>
          <w:iCs/>
          <w:sz w:val="24"/>
          <w:szCs w:val="24"/>
        </w:rPr>
        <w:t>idea</w:t>
      </w:r>
      <w:r w:rsidRPr="00CC7F41">
        <w:rPr>
          <w:rFonts w:ascii="Avenir Book" w:hAnsi="Avenir Book" w:cs="Times New Roman"/>
          <w:sz w:val="24"/>
          <w:szCs w:val="24"/>
        </w:rPr>
        <w:t xml:space="preserve">, </w:t>
      </w:r>
      <w:r w:rsidRPr="00CC7F41">
        <w:rPr>
          <w:rFonts w:ascii="Avenir Book" w:hAnsi="Avenir Book" w:cs="Times New Roman"/>
          <w:i/>
          <w:iCs/>
          <w:sz w:val="24"/>
          <w:szCs w:val="24"/>
        </w:rPr>
        <w:t>morphe</w:t>
      </w:r>
      <w:r w:rsidRPr="00CC7F41">
        <w:rPr>
          <w:rFonts w:ascii="Avenir Book" w:hAnsi="Avenir Book" w:cs="Times New Roman"/>
          <w:sz w:val="24"/>
          <w:szCs w:val="24"/>
        </w:rPr>
        <w:t xml:space="preserve">) is not a piece of propositional knowledge but a capacity or skill. This reading of the doctrine of ideas has the great advantage that it avoids the difficulties of supposing that ideas are </w:t>
      </w:r>
      <w:r w:rsidRPr="00CC7F41">
        <w:rPr>
          <w:rFonts w:ascii="Avenir Book" w:hAnsi="Avenir Book" w:cs="Times New Roman"/>
          <w:i/>
          <w:iCs/>
          <w:sz w:val="24"/>
          <w:szCs w:val="24"/>
        </w:rPr>
        <w:t>objects</w:t>
      </w:r>
      <w:r w:rsidR="003579CB">
        <w:rPr>
          <w:rFonts w:ascii="Avenir Book" w:hAnsi="Avenir Book" w:cs="Times New Roman"/>
          <w:sz w:val="24"/>
          <w:szCs w:val="24"/>
        </w:rPr>
        <w:t>––</w:t>
      </w:r>
      <w:r w:rsidRPr="00CC7F41">
        <w:rPr>
          <w:rFonts w:ascii="Avenir Book" w:hAnsi="Avenir Book" w:cs="Times New Roman"/>
          <w:sz w:val="24"/>
          <w:szCs w:val="24"/>
        </w:rPr>
        <w:t xml:space="preserve">for example the “third man” argument in the late </w:t>
      </w:r>
      <w:r w:rsidRPr="00CC7F41">
        <w:rPr>
          <w:rFonts w:ascii="Avenir Book" w:hAnsi="Avenir Book" w:cs="Times New Roman"/>
          <w:i/>
          <w:iCs/>
          <w:sz w:val="24"/>
          <w:szCs w:val="24"/>
        </w:rPr>
        <w:t>Parmenides</w:t>
      </w:r>
      <w:r w:rsidRPr="00CC7F41">
        <w:rPr>
          <w:rFonts w:ascii="Avenir Book" w:hAnsi="Avenir Book" w:cs="Times New Roman"/>
          <w:sz w:val="24"/>
          <w:szCs w:val="24"/>
        </w:rPr>
        <w:t xml:space="preserve">. To clarify the precise relation of this reading of Plato and DaVia and </w:t>
      </w:r>
      <w:r w:rsidRPr="00CC7F41">
        <w:rPr>
          <w:rFonts w:ascii="Avenir Book" w:hAnsi="Avenir Book" w:cs="Times New Roman"/>
          <w:sz w:val="24"/>
          <w:szCs w:val="24"/>
        </w:rPr>
        <w:lastRenderedPageBreak/>
        <w:t>Lynch’s book would go beyond the scope of this review; but it seems to support the view that Gadamer is not hostile to a conception of essences.</w:t>
      </w:r>
    </w:p>
    <w:p w14:paraId="75295F49" w14:textId="2D4E3CED" w:rsidR="00B51346" w:rsidRPr="00A21EE6" w:rsidRDefault="00A21EE6" w:rsidP="00A21EE6">
      <w:pPr>
        <w:spacing w:after="0"/>
        <w:ind w:firstLine="708"/>
        <w:rPr>
          <w:rFonts w:ascii="Avenir Book" w:hAnsi="Avenir Book" w:cs="Times New Roman"/>
          <w:iCs/>
          <w:sz w:val="24"/>
          <w:szCs w:val="24"/>
        </w:rPr>
      </w:pPr>
      <w:r w:rsidRPr="00CC7F41">
        <w:rPr>
          <w:rFonts w:ascii="Avenir Book" w:hAnsi="Avenir Book" w:cs="Times New Roman"/>
          <w:iCs/>
          <w:sz w:val="24"/>
          <w:szCs w:val="24"/>
        </w:rPr>
        <w:t>All in all, it is a pleasure and a challenging experience to read this book which presents Gadamer’s hermeneutics from a new angle in a systematic context. Though contestable on various points, the argument of DaVia and Lynch deserves to be taken seriously.</w:t>
      </w:r>
    </w:p>
    <w:p w14:paraId="4F397359" w14:textId="77777777" w:rsidR="00B51346" w:rsidRDefault="00B51346">
      <w:pPr>
        <w:rPr>
          <w:rFonts w:ascii="Avenir Book" w:hAnsi="Avenir Book"/>
          <w:color w:val="000000" w:themeColor="text1"/>
        </w:rPr>
      </w:pPr>
    </w:p>
    <w:p w14:paraId="75D61245" w14:textId="3074A042" w:rsidR="00A21EE6" w:rsidRDefault="00BE7201" w:rsidP="00A21EE6">
      <w:pPr>
        <w:pStyle w:val="Heading2"/>
        <w:spacing w:after="200"/>
        <w:rPr>
          <w:rFonts w:ascii="Avenir Book" w:hAnsi="Avenir Book"/>
          <w:color w:val="000000" w:themeColor="text1"/>
        </w:rPr>
      </w:pPr>
      <w:r>
        <w:rPr>
          <w:rFonts w:ascii="Avenir Book" w:hAnsi="Avenir Book"/>
          <w:color w:val="000000" w:themeColor="text1"/>
        </w:rPr>
        <w:t>Bibliography</w:t>
      </w:r>
    </w:p>
    <w:p w14:paraId="78BB39CF" w14:textId="6B1D5CAC" w:rsidR="00A21EE6" w:rsidRPr="00DD2CF4" w:rsidRDefault="00A21EE6" w:rsidP="00A21EE6">
      <w:pPr>
        <w:pStyle w:val="FootnoteText"/>
        <w:spacing w:after="120" w:line="240" w:lineRule="auto"/>
        <w:ind w:left="720" w:hanging="720"/>
        <w:rPr>
          <w:rFonts w:ascii="Avenir Book" w:hAnsi="Avenir Book"/>
          <w:color w:val="000000"/>
          <w:sz w:val="24"/>
          <w:szCs w:val="24"/>
          <w:shd w:val="clear" w:color="auto" w:fill="FFFFFF"/>
        </w:rPr>
      </w:pPr>
      <w:r w:rsidRPr="00DD2CF4">
        <w:rPr>
          <w:rFonts w:ascii="Avenir Book" w:hAnsi="Avenir Book"/>
          <w:color w:val="000000"/>
          <w:sz w:val="24"/>
          <w:szCs w:val="24"/>
          <w:shd w:val="clear" w:color="auto" w:fill="FFFFFF"/>
        </w:rPr>
        <w:t>DaVia</w:t>
      </w:r>
      <w:r>
        <w:rPr>
          <w:rFonts w:ascii="Avenir Book" w:hAnsi="Avenir Book"/>
          <w:color w:val="000000"/>
          <w:sz w:val="24"/>
          <w:szCs w:val="24"/>
          <w:shd w:val="clear" w:color="auto" w:fill="FFFFFF"/>
        </w:rPr>
        <w:t xml:space="preserve">, </w:t>
      </w:r>
      <w:r w:rsidRPr="00DD2CF4">
        <w:rPr>
          <w:rFonts w:ascii="Avenir Book" w:hAnsi="Avenir Book"/>
          <w:color w:val="000000"/>
          <w:sz w:val="24"/>
          <w:szCs w:val="24"/>
          <w:shd w:val="clear" w:color="auto" w:fill="FFFFFF"/>
        </w:rPr>
        <w:t xml:space="preserve">Carlo and Greg Lynch. </w:t>
      </w:r>
      <w:r w:rsidRPr="00DD2CF4">
        <w:rPr>
          <w:rFonts w:ascii="Avenir Book" w:hAnsi="Avenir Book"/>
          <w:i/>
          <w:iCs/>
          <w:color w:val="000000"/>
          <w:sz w:val="24"/>
          <w:szCs w:val="24"/>
          <w:shd w:val="clear" w:color="auto" w:fill="FFFFFF"/>
        </w:rPr>
        <w:t>The Event of Meaning in Gadamer’s Hermeneutics.</w:t>
      </w:r>
      <w:r w:rsidRPr="00DD2CF4">
        <w:rPr>
          <w:rFonts w:ascii="Avenir Book" w:hAnsi="Avenir Book"/>
          <w:color w:val="000000"/>
          <w:sz w:val="24"/>
          <w:szCs w:val="24"/>
          <w:shd w:val="clear" w:color="auto" w:fill="FFFFFF"/>
        </w:rPr>
        <w:t xml:space="preserve"> Routledge, 2024.</w:t>
      </w:r>
    </w:p>
    <w:p w14:paraId="53D12B1B" w14:textId="34ABCB8F" w:rsidR="00A21EE6" w:rsidRDefault="00A21EE6" w:rsidP="00A21EE6">
      <w:pPr>
        <w:pStyle w:val="FootnoteText"/>
        <w:spacing w:after="120" w:line="240" w:lineRule="auto"/>
        <w:ind w:left="720" w:hanging="720"/>
        <w:rPr>
          <w:rFonts w:ascii="Avenir Book" w:hAnsi="Avenir Book"/>
          <w:color w:val="000000"/>
          <w:sz w:val="24"/>
          <w:szCs w:val="24"/>
          <w:shd w:val="clear" w:color="auto" w:fill="FFFFFF"/>
        </w:rPr>
      </w:pPr>
      <w:r w:rsidRPr="00DD2CF4">
        <w:rPr>
          <w:rFonts w:ascii="Avenir Book" w:hAnsi="Avenir Book"/>
          <w:color w:val="000000"/>
          <w:sz w:val="24"/>
          <w:szCs w:val="24"/>
          <w:shd w:val="clear" w:color="auto" w:fill="FFFFFF"/>
        </w:rPr>
        <w:t>Gadamer</w:t>
      </w:r>
      <w:r>
        <w:rPr>
          <w:rFonts w:ascii="Avenir Book" w:hAnsi="Avenir Book"/>
          <w:color w:val="000000"/>
          <w:sz w:val="24"/>
          <w:szCs w:val="24"/>
          <w:shd w:val="clear" w:color="auto" w:fill="FFFFFF"/>
        </w:rPr>
        <w:t xml:space="preserve">, </w:t>
      </w:r>
      <w:r w:rsidRPr="00DD2CF4">
        <w:rPr>
          <w:rFonts w:ascii="Avenir Book" w:hAnsi="Avenir Book"/>
          <w:color w:val="000000"/>
          <w:sz w:val="24"/>
          <w:szCs w:val="24"/>
          <w:shd w:val="clear" w:color="auto" w:fill="FFFFFF"/>
        </w:rPr>
        <w:t>Hans-Georg.</w:t>
      </w:r>
      <w:r>
        <w:rPr>
          <w:rStyle w:val="apple-converted-space"/>
          <w:rFonts w:ascii="Avenir Book" w:hAnsi="Avenir Book"/>
          <w:color w:val="000000"/>
          <w:sz w:val="24"/>
          <w:szCs w:val="24"/>
          <w:shd w:val="clear" w:color="auto" w:fill="FFFFFF"/>
        </w:rPr>
        <w:t xml:space="preserve"> </w:t>
      </w:r>
      <w:r w:rsidRPr="00DD2CF4">
        <w:rPr>
          <w:rFonts w:ascii="Avenir Book" w:hAnsi="Avenir Book"/>
          <w:i/>
          <w:iCs/>
          <w:color w:val="000000"/>
          <w:sz w:val="24"/>
          <w:szCs w:val="24"/>
        </w:rPr>
        <w:t>Truth and Method</w:t>
      </w:r>
      <w:r w:rsidRPr="00DD2CF4">
        <w:rPr>
          <w:rFonts w:ascii="Avenir Book" w:hAnsi="Avenir Book"/>
          <w:color w:val="000000"/>
          <w:sz w:val="24"/>
          <w:szCs w:val="24"/>
          <w:shd w:val="clear" w:color="auto" w:fill="FFFFFF"/>
        </w:rPr>
        <w:t xml:space="preserve">. </w:t>
      </w:r>
      <w:r w:rsidR="00024695">
        <w:rPr>
          <w:rFonts w:ascii="Avenir Book" w:hAnsi="Avenir Book"/>
          <w:color w:val="000000"/>
          <w:sz w:val="24"/>
          <w:szCs w:val="24"/>
          <w:shd w:val="clear" w:color="auto" w:fill="FFFFFF"/>
        </w:rPr>
        <w:t xml:space="preserve">Revised </w:t>
      </w:r>
      <w:r w:rsidRPr="00DD2CF4">
        <w:rPr>
          <w:rFonts w:ascii="Avenir Book" w:hAnsi="Avenir Book"/>
          <w:color w:val="000000"/>
          <w:sz w:val="24"/>
          <w:szCs w:val="24"/>
          <w:shd w:val="clear" w:color="auto" w:fill="FFFFFF"/>
        </w:rPr>
        <w:t xml:space="preserve">and </w:t>
      </w:r>
      <w:r w:rsidR="00024695">
        <w:rPr>
          <w:rFonts w:ascii="Avenir Book" w:hAnsi="Avenir Book"/>
          <w:color w:val="000000"/>
          <w:sz w:val="24"/>
          <w:szCs w:val="24"/>
          <w:shd w:val="clear" w:color="auto" w:fill="FFFFFF"/>
        </w:rPr>
        <w:t>translated</w:t>
      </w:r>
      <w:r w:rsidR="00024695" w:rsidRPr="00DD2CF4">
        <w:rPr>
          <w:rFonts w:ascii="Avenir Book" w:hAnsi="Avenir Book"/>
          <w:color w:val="000000"/>
          <w:sz w:val="24"/>
          <w:szCs w:val="24"/>
          <w:shd w:val="clear" w:color="auto" w:fill="FFFFFF"/>
        </w:rPr>
        <w:t xml:space="preserve"> </w:t>
      </w:r>
      <w:r w:rsidRPr="00DD2CF4">
        <w:rPr>
          <w:rFonts w:ascii="Avenir Book" w:hAnsi="Avenir Book"/>
          <w:color w:val="000000"/>
          <w:sz w:val="24"/>
          <w:szCs w:val="24"/>
          <w:shd w:val="clear" w:color="auto" w:fill="FFFFFF"/>
        </w:rPr>
        <w:t xml:space="preserve">by Joel Weinsheimer and Donald G. Marshall. </w:t>
      </w:r>
      <w:r w:rsidR="00024695">
        <w:rPr>
          <w:rFonts w:ascii="Avenir Book" w:hAnsi="Avenir Book"/>
          <w:color w:val="000000"/>
          <w:sz w:val="24"/>
          <w:szCs w:val="24"/>
          <w:shd w:val="clear" w:color="auto" w:fill="FFFFFF"/>
        </w:rPr>
        <w:t>Bloomsbury, 2013</w:t>
      </w:r>
      <w:r w:rsidRPr="00DD2CF4">
        <w:rPr>
          <w:rFonts w:ascii="Avenir Book" w:hAnsi="Avenir Book"/>
          <w:color w:val="000000"/>
          <w:sz w:val="24"/>
          <w:szCs w:val="24"/>
          <w:shd w:val="clear" w:color="auto" w:fill="FFFFFF"/>
        </w:rPr>
        <w:t>.</w:t>
      </w:r>
      <w:r>
        <w:rPr>
          <w:rFonts w:ascii="Avenir Book" w:hAnsi="Avenir Book"/>
          <w:color w:val="000000"/>
          <w:sz w:val="24"/>
          <w:szCs w:val="24"/>
          <w:shd w:val="clear" w:color="auto" w:fill="FFFFFF"/>
        </w:rPr>
        <w:t xml:space="preserve"> [</w:t>
      </w:r>
      <w:r w:rsidRPr="00BE7201">
        <w:rPr>
          <w:rFonts w:ascii="Avenir Book" w:hAnsi="Avenir Book"/>
          <w:i/>
          <w:iCs/>
          <w:color w:val="000000"/>
          <w:sz w:val="24"/>
          <w:szCs w:val="24"/>
          <w:shd w:val="clear" w:color="auto" w:fill="FFFFFF"/>
        </w:rPr>
        <w:t>TM</w:t>
      </w:r>
      <w:r>
        <w:rPr>
          <w:rFonts w:ascii="Avenir Book" w:hAnsi="Avenir Book"/>
          <w:color w:val="000000"/>
          <w:sz w:val="24"/>
          <w:szCs w:val="24"/>
          <w:shd w:val="clear" w:color="auto" w:fill="FFFFFF"/>
        </w:rPr>
        <w:t>]</w:t>
      </w:r>
    </w:p>
    <w:p w14:paraId="75474D10" w14:textId="7B949546" w:rsidR="00024695" w:rsidRPr="00024695" w:rsidRDefault="00C50860" w:rsidP="00024695">
      <w:pPr>
        <w:pStyle w:val="FootnoteText"/>
        <w:spacing w:after="120" w:line="240" w:lineRule="auto"/>
        <w:ind w:left="720" w:hanging="720"/>
        <w:rPr>
          <w:rFonts w:ascii="Avenir Book" w:hAnsi="Avenir Book"/>
          <w:color w:val="000000"/>
          <w:sz w:val="24"/>
          <w:szCs w:val="24"/>
          <w:shd w:val="clear" w:color="auto" w:fill="FFFFFF"/>
        </w:rPr>
      </w:pPr>
      <w:r>
        <w:rPr>
          <w:rFonts w:ascii="Avenir Book" w:hAnsi="Avenir Book"/>
          <w:color w:val="000000"/>
          <w:sz w:val="24"/>
          <w:szCs w:val="24"/>
          <w:shd w:val="clear" w:color="auto" w:fill="FFFFFF"/>
        </w:rPr>
        <w:t xml:space="preserve">Olay, Csaba. </w:t>
      </w:r>
      <w:r w:rsidR="00024695">
        <w:rPr>
          <w:rFonts w:ascii="Avenir Book" w:hAnsi="Avenir Book"/>
          <w:color w:val="000000"/>
          <w:sz w:val="24"/>
          <w:szCs w:val="24"/>
          <w:shd w:val="clear" w:color="auto" w:fill="FFFFFF"/>
        </w:rPr>
        <w:t>“</w:t>
      </w:r>
      <w:r w:rsidR="00024695" w:rsidRPr="00024695">
        <w:rPr>
          <w:rFonts w:ascii="Avenir Book" w:hAnsi="Avenir Book"/>
          <w:color w:val="000000"/>
          <w:sz w:val="24"/>
          <w:szCs w:val="24"/>
          <w:shd w:val="clear" w:color="auto" w:fill="FFFFFF"/>
        </w:rPr>
        <w:t>Die Überlieferung der Gegenwart und die Gegenwart der Überlieferung. Heidegger und Gadamer über Tradition,</w:t>
      </w:r>
      <w:r w:rsidR="00024695">
        <w:rPr>
          <w:rFonts w:ascii="Avenir Book" w:hAnsi="Avenir Book"/>
          <w:color w:val="000000"/>
          <w:sz w:val="24"/>
          <w:szCs w:val="24"/>
          <w:shd w:val="clear" w:color="auto" w:fill="FFFFFF"/>
        </w:rPr>
        <w:t>”</w:t>
      </w:r>
      <w:r w:rsidR="00024695" w:rsidRPr="00024695">
        <w:rPr>
          <w:rFonts w:ascii="Avenir Book" w:hAnsi="Avenir Book"/>
          <w:color w:val="000000"/>
          <w:sz w:val="24"/>
          <w:szCs w:val="24"/>
          <w:shd w:val="clear" w:color="auto" w:fill="FFFFFF"/>
        </w:rPr>
        <w:t xml:space="preserve"> </w:t>
      </w:r>
      <w:r w:rsidR="00024695" w:rsidRPr="00024695">
        <w:rPr>
          <w:rFonts w:ascii="Avenir Book" w:hAnsi="Avenir Book"/>
          <w:i/>
          <w:color w:val="000000"/>
          <w:sz w:val="24"/>
          <w:szCs w:val="24"/>
          <w:shd w:val="clear" w:color="auto" w:fill="FFFFFF"/>
        </w:rPr>
        <w:t>Internationales Jahrbuch für Hermeneutik</w:t>
      </w:r>
      <w:r w:rsidR="00024695" w:rsidRPr="00024695">
        <w:rPr>
          <w:rFonts w:ascii="Avenir Book" w:hAnsi="Avenir Book"/>
          <w:color w:val="000000"/>
          <w:sz w:val="24"/>
          <w:szCs w:val="24"/>
          <w:shd w:val="clear" w:color="auto" w:fill="FFFFFF"/>
        </w:rPr>
        <w:t xml:space="preserve"> 7 (2013): 196–219.</w:t>
      </w:r>
    </w:p>
    <w:p w14:paraId="1D69E278" w14:textId="4B6458DF" w:rsidR="00C50860" w:rsidRPr="00DD2CF4" w:rsidRDefault="00C50860" w:rsidP="00A21EE6">
      <w:pPr>
        <w:pStyle w:val="FootnoteText"/>
        <w:spacing w:after="120" w:line="240" w:lineRule="auto"/>
        <w:ind w:left="720" w:hanging="720"/>
        <w:rPr>
          <w:rFonts w:ascii="Avenir Book" w:hAnsi="Avenir Book"/>
          <w:color w:val="000000"/>
          <w:sz w:val="24"/>
          <w:szCs w:val="24"/>
          <w:shd w:val="clear" w:color="auto" w:fill="FFFFFF"/>
        </w:rPr>
      </w:pPr>
    </w:p>
    <w:p w14:paraId="79BD92F2" w14:textId="77777777" w:rsidR="00A21EE6" w:rsidRDefault="00A21EE6" w:rsidP="00A21EE6"/>
    <w:p w14:paraId="3700AB96" w14:textId="77777777" w:rsidR="00A21EE6" w:rsidRPr="00A21EE6" w:rsidRDefault="00A21EE6" w:rsidP="00A21EE6"/>
    <w:sectPr w:rsidR="00A21EE6" w:rsidRPr="00A21EE6" w:rsidSect="00AC2388">
      <w:headerReference w:type="default" r:id="rId9"/>
      <w:footerReference w:type="even" r:id="rId10"/>
      <w:footerReference w:type="default" r:id="rId11"/>
      <w:pgSz w:w="12240" w:h="15840"/>
      <w:pgMar w:top="1440" w:right="1440" w:bottom="1440" w:left="1440" w:header="720" w:footer="720" w:gutter="0"/>
      <w:pgNumType w:start="3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93690" w14:textId="77777777" w:rsidR="00BF1D62" w:rsidRDefault="00BF1D62" w:rsidP="00B51346">
      <w:pPr>
        <w:spacing w:after="0" w:line="240" w:lineRule="auto"/>
      </w:pPr>
      <w:r>
        <w:separator/>
      </w:r>
    </w:p>
  </w:endnote>
  <w:endnote w:type="continuationSeparator" w:id="0">
    <w:p w14:paraId="4512B835" w14:textId="77777777" w:rsidR="00BF1D62" w:rsidRDefault="00BF1D62"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Avenir Book">
    <w:panose1 w:val="02000503020000020003"/>
    <w:charset w:val="00"/>
    <w:family w:val="auto"/>
    <w:pitch w:val="variable"/>
    <w:sig w:usb0="800000AF" w:usb1="5000204A" w:usb2="00000000" w:usb3="00000000" w:csb0="0000009B"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63F63DA5" w14:textId="77777777" w:rsidR="00B51346" w:rsidRDefault="00B51346" w:rsidP="0041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A7E025"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ill Sans MT" w:hAnsi="Gill Sans MT"/>
      </w:rPr>
      <w:id w:val="1592427989"/>
      <w:docPartObj>
        <w:docPartGallery w:val="Page Numbers (Bottom of Page)"/>
        <w:docPartUnique/>
      </w:docPartObj>
    </w:sdtPr>
    <w:sdtContent>
      <w:p w14:paraId="7AF2AA72" w14:textId="101AB0D2" w:rsidR="00B51346" w:rsidRPr="00B51346" w:rsidRDefault="00B51346" w:rsidP="004176AF">
        <w:pPr>
          <w:pStyle w:val="Footer"/>
          <w:framePr w:wrap="none" w:vAnchor="text" w:hAnchor="margin" w:xAlign="right" w:y="1"/>
          <w:rPr>
            <w:rStyle w:val="PageNumber"/>
            <w:rFonts w:ascii="Gill Sans MT" w:hAnsi="Gill Sans MT"/>
          </w:rPr>
        </w:pPr>
        <w:r w:rsidRPr="00B51346">
          <w:rPr>
            <w:rStyle w:val="PageNumber"/>
            <w:rFonts w:ascii="Gill Sans MT" w:hAnsi="Gill Sans MT"/>
          </w:rPr>
          <w:fldChar w:fldCharType="begin"/>
        </w:r>
        <w:r w:rsidRPr="00B51346">
          <w:rPr>
            <w:rStyle w:val="PageNumber"/>
            <w:rFonts w:ascii="Gill Sans MT" w:hAnsi="Gill Sans MT"/>
          </w:rPr>
          <w:instrText xml:space="preserve"> PAGE </w:instrText>
        </w:r>
        <w:r w:rsidRPr="00B51346">
          <w:rPr>
            <w:rStyle w:val="PageNumber"/>
            <w:rFonts w:ascii="Gill Sans MT" w:hAnsi="Gill Sans MT"/>
          </w:rPr>
          <w:fldChar w:fldCharType="separate"/>
        </w:r>
        <w:r w:rsidRPr="00B51346">
          <w:rPr>
            <w:rStyle w:val="PageNumber"/>
            <w:rFonts w:ascii="Gill Sans MT" w:hAnsi="Gill Sans MT"/>
            <w:noProof/>
          </w:rPr>
          <w:t>1</w:t>
        </w:r>
        <w:r w:rsidRPr="00B51346">
          <w:rPr>
            <w:rStyle w:val="PageNumber"/>
            <w:rFonts w:ascii="Gill Sans MT" w:hAnsi="Gill Sans MT"/>
          </w:rPr>
          <w:fldChar w:fldCharType="end"/>
        </w:r>
      </w:p>
    </w:sdtContent>
  </w:sdt>
  <w:p w14:paraId="4A81CAF4" w14:textId="77777777"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4237B" w14:textId="77777777" w:rsidR="00BF1D62" w:rsidRDefault="00BF1D62" w:rsidP="00B51346">
      <w:pPr>
        <w:spacing w:after="0" w:line="240" w:lineRule="auto"/>
      </w:pPr>
      <w:r>
        <w:separator/>
      </w:r>
    </w:p>
  </w:footnote>
  <w:footnote w:type="continuationSeparator" w:id="0">
    <w:p w14:paraId="6591ADBB" w14:textId="77777777" w:rsidR="00BF1D62" w:rsidRDefault="00BF1D62" w:rsidP="00B51346">
      <w:pPr>
        <w:spacing w:after="0" w:line="240" w:lineRule="auto"/>
      </w:pPr>
      <w:r>
        <w:continuationSeparator/>
      </w:r>
    </w:p>
  </w:footnote>
  <w:footnote w:id="1">
    <w:p w14:paraId="6CE10B80" w14:textId="4FD6A979" w:rsidR="00C50860" w:rsidRPr="005805DC" w:rsidRDefault="00C50860" w:rsidP="000D744A">
      <w:pPr>
        <w:spacing w:after="0" w:line="240" w:lineRule="auto"/>
        <w:rPr>
          <w:rFonts w:ascii="Avenir Book" w:hAnsi="Avenir Book"/>
          <w:sz w:val="20"/>
          <w:szCs w:val="20"/>
        </w:rPr>
      </w:pPr>
      <w:r w:rsidRPr="005805DC">
        <w:rPr>
          <w:rStyle w:val="FootnoteReference"/>
          <w:rFonts w:ascii="Avenir Book" w:hAnsi="Avenir Book"/>
          <w:sz w:val="20"/>
          <w:szCs w:val="20"/>
        </w:rPr>
        <w:footnoteRef/>
      </w:r>
      <w:r w:rsidRPr="005805DC">
        <w:rPr>
          <w:rFonts w:ascii="Avenir Book" w:hAnsi="Avenir Book"/>
          <w:sz w:val="20"/>
          <w:szCs w:val="20"/>
        </w:rPr>
        <w:t xml:space="preserve"> Carlo DaVia and Greg Lynch, </w:t>
      </w:r>
      <w:r w:rsidRPr="005805DC">
        <w:rPr>
          <w:rFonts w:ascii="Avenir Book" w:hAnsi="Avenir Book"/>
          <w:i/>
          <w:iCs/>
          <w:sz w:val="20"/>
          <w:szCs w:val="20"/>
        </w:rPr>
        <w:t xml:space="preserve">The Event of Meaning in Gadamer’s Hermeneutics </w:t>
      </w:r>
      <w:r w:rsidRPr="005805DC">
        <w:rPr>
          <w:rFonts w:ascii="Avenir Book" w:hAnsi="Avenir Book"/>
          <w:sz w:val="20"/>
          <w:szCs w:val="20"/>
        </w:rPr>
        <w:t>(Routledge, 2024), 11.</w:t>
      </w:r>
    </w:p>
    <w:p w14:paraId="45355860" w14:textId="108327C9" w:rsidR="00C50860" w:rsidRPr="005805DC" w:rsidRDefault="00C50860" w:rsidP="000D744A">
      <w:pPr>
        <w:pStyle w:val="FootnoteText"/>
        <w:spacing w:after="0" w:line="240" w:lineRule="auto"/>
        <w:rPr>
          <w:rFonts w:ascii="Avenir Book" w:hAnsi="Avenir Book"/>
        </w:rPr>
      </w:pPr>
    </w:p>
  </w:footnote>
  <w:footnote w:id="2">
    <w:p w14:paraId="1B73C276" w14:textId="4D987FA4" w:rsidR="00C50860" w:rsidRPr="005E4E68" w:rsidRDefault="00C50860" w:rsidP="000D744A">
      <w:pPr>
        <w:pStyle w:val="FootnoteText"/>
        <w:spacing w:after="0" w:line="240" w:lineRule="auto"/>
        <w:rPr>
          <w:rFonts w:ascii="Avenir Book" w:hAnsi="Avenir Book"/>
        </w:rPr>
      </w:pPr>
      <w:r w:rsidRPr="005E4E68">
        <w:rPr>
          <w:rStyle w:val="FootnoteReference"/>
          <w:rFonts w:ascii="Avenir Book" w:hAnsi="Avenir Book"/>
        </w:rPr>
        <w:footnoteRef/>
      </w:r>
      <w:r w:rsidRPr="005E4E68">
        <w:rPr>
          <w:rFonts w:ascii="Avenir Book" w:hAnsi="Avenir Book"/>
        </w:rPr>
        <w:t xml:space="preserve"> DaVia and Lynch, </w:t>
      </w:r>
      <w:r w:rsidRPr="005E4E68">
        <w:rPr>
          <w:rFonts w:ascii="Avenir Book" w:hAnsi="Avenir Book"/>
          <w:i/>
          <w:iCs/>
        </w:rPr>
        <w:t xml:space="preserve">The Event of Meaning, </w:t>
      </w:r>
      <w:r w:rsidRPr="005E4E68">
        <w:rPr>
          <w:rFonts w:ascii="Avenir Book" w:hAnsi="Avenir Book"/>
        </w:rPr>
        <w:t>14.</w:t>
      </w:r>
    </w:p>
  </w:footnote>
  <w:footnote w:id="3">
    <w:p w14:paraId="0AB50A5B" w14:textId="48914C42" w:rsidR="00D84A37" w:rsidRPr="005805DC" w:rsidRDefault="00D84A37"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2.</w:t>
      </w:r>
    </w:p>
  </w:footnote>
  <w:footnote w:id="4">
    <w:p w14:paraId="13C557CF" w14:textId="02C5BE5F" w:rsidR="00D84A37" w:rsidRPr="005805DC" w:rsidRDefault="00D84A37"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2.</w:t>
      </w:r>
    </w:p>
  </w:footnote>
  <w:footnote w:id="5">
    <w:p w14:paraId="53B4040C" w14:textId="11757BAC" w:rsidR="00D84A37" w:rsidRPr="005805DC" w:rsidRDefault="00D84A37"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4.</w:t>
      </w:r>
    </w:p>
  </w:footnote>
  <w:footnote w:id="6">
    <w:p w14:paraId="3659F956" w14:textId="29D23C2B" w:rsidR="00D84A37" w:rsidRPr="005805DC" w:rsidRDefault="00D84A37"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00024695" w:rsidRPr="005E4E68">
        <w:rPr>
          <w:rFonts w:ascii="Avenir Book" w:hAnsi="Avenir Book"/>
        </w:rPr>
        <w:t xml:space="preserve">Hans-Georg Gadamer, </w:t>
      </w:r>
      <w:r w:rsidR="00024695" w:rsidRPr="005E4E68">
        <w:rPr>
          <w:rFonts w:ascii="Avenir Book" w:hAnsi="Avenir Book"/>
          <w:i/>
          <w:iCs/>
        </w:rPr>
        <w:t>Truth and Method</w:t>
      </w:r>
      <w:r w:rsidR="00024695" w:rsidRPr="005E4E68">
        <w:rPr>
          <w:rFonts w:ascii="Avenir Book" w:hAnsi="Avenir Book"/>
        </w:rPr>
        <w:t xml:space="preserve">, rev. trans. Joel Weinsheimer and Donald G. Marshall. (Bloomsbury, 2013), 164 [hereafter cited as, </w:t>
      </w:r>
      <w:r w:rsidR="00024695" w:rsidRPr="00BE7201">
        <w:rPr>
          <w:rFonts w:ascii="Avenir Book" w:hAnsi="Avenir Book"/>
          <w:i/>
          <w:iCs/>
        </w:rPr>
        <w:t>TM</w:t>
      </w:r>
      <w:r w:rsidR="00024695" w:rsidRPr="005E4E68">
        <w:rPr>
          <w:rFonts w:ascii="Avenir Book" w:hAnsi="Avenir Book"/>
        </w:rPr>
        <w:t>].</w:t>
      </w:r>
    </w:p>
  </w:footnote>
  <w:footnote w:id="7">
    <w:p w14:paraId="6D39EE07" w14:textId="2A92CA3D" w:rsidR="00CB00F4" w:rsidRPr="005805DC" w:rsidRDefault="00CB00F4"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6.</w:t>
      </w:r>
    </w:p>
  </w:footnote>
  <w:footnote w:id="8">
    <w:p w14:paraId="154C016E" w14:textId="3FEFB532" w:rsidR="00CB00F4" w:rsidRPr="005805DC" w:rsidRDefault="00CB00F4"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7.</w:t>
      </w:r>
    </w:p>
  </w:footnote>
  <w:footnote w:id="9">
    <w:p w14:paraId="12E08AFC" w14:textId="6C45DFE7" w:rsidR="005E4E68" w:rsidRPr="005805DC" w:rsidRDefault="005E4E68"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9.</w:t>
      </w:r>
    </w:p>
  </w:footnote>
  <w:footnote w:id="10">
    <w:p w14:paraId="6177C534" w14:textId="4D8C5212" w:rsidR="005E4E68" w:rsidRPr="005805DC" w:rsidRDefault="005E4E68" w:rsidP="000D744A">
      <w:pPr>
        <w:pStyle w:val="FootnoteText"/>
        <w:spacing w:after="0" w:line="240" w:lineRule="auto"/>
        <w:rPr>
          <w:iCs/>
        </w:rPr>
      </w:pPr>
      <w:r w:rsidRPr="005805DC">
        <w:rPr>
          <w:rStyle w:val="FootnoteReference"/>
          <w:rFonts w:ascii="Avenir Book" w:hAnsi="Avenir Book"/>
        </w:rPr>
        <w:footnoteRef/>
      </w:r>
      <w:r w:rsidRPr="005805DC">
        <w:rPr>
          <w:rFonts w:ascii="Avenir Book" w:hAnsi="Avenir Book"/>
        </w:rPr>
        <w:t xml:space="preserve"> </w:t>
      </w:r>
      <w:r w:rsidRPr="005805DC">
        <w:rPr>
          <w:rFonts w:ascii="Avenir Book" w:hAnsi="Avenir Book"/>
          <w:i/>
        </w:rPr>
        <w:t xml:space="preserve">TM, </w:t>
      </w:r>
      <w:r w:rsidRPr="005805DC">
        <w:rPr>
          <w:rFonts w:ascii="Avenir Book" w:hAnsi="Avenir Book"/>
          <w:iCs/>
        </w:rPr>
        <w:t>466.</w:t>
      </w:r>
    </w:p>
  </w:footnote>
  <w:footnote w:id="11">
    <w:p w14:paraId="5CF87D8E" w14:textId="683FBE22" w:rsidR="0019435A" w:rsidRDefault="0019435A" w:rsidP="000D744A">
      <w:pPr>
        <w:pStyle w:val="FootnoteText"/>
        <w:spacing w:after="0" w:line="240" w:lineRule="auto"/>
      </w:pPr>
      <w:r>
        <w:rPr>
          <w:rStyle w:val="FootnoteReference"/>
        </w:rPr>
        <w:footnoteRef/>
      </w:r>
      <w: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7.</w:t>
      </w:r>
    </w:p>
  </w:footnote>
  <w:footnote w:id="12">
    <w:p w14:paraId="0A1BA20C" w14:textId="614AFE3E" w:rsidR="0019435A" w:rsidRDefault="0019435A" w:rsidP="000D744A">
      <w:pPr>
        <w:pStyle w:val="FootnoteText"/>
        <w:spacing w:after="0" w:line="240" w:lineRule="auto"/>
      </w:pPr>
      <w:r>
        <w:rPr>
          <w:rStyle w:val="FootnoteReference"/>
        </w:rPr>
        <w:footnoteRef/>
      </w:r>
      <w:r>
        <w:t xml:space="preserve"> </w:t>
      </w:r>
      <w:r w:rsidRPr="005E4E68">
        <w:rPr>
          <w:rFonts w:ascii="Avenir Book" w:hAnsi="Avenir Book"/>
        </w:rPr>
        <w:t xml:space="preserve">DaVia and Lynch, </w:t>
      </w:r>
      <w:r w:rsidRPr="005E4E68">
        <w:rPr>
          <w:rFonts w:ascii="Avenir Book" w:hAnsi="Avenir Book"/>
          <w:i/>
          <w:iCs/>
        </w:rPr>
        <w:t xml:space="preserve">The Event of Meaning, </w:t>
      </w:r>
      <w:r w:rsidRPr="005E4E68">
        <w:rPr>
          <w:rFonts w:ascii="Avenir Book" w:hAnsi="Avenir Book"/>
        </w:rPr>
        <w:t>7</w:t>
      </w:r>
      <w:r w:rsidR="00155FE3">
        <w:rPr>
          <w:rFonts w:ascii="Avenir Book" w:hAnsi="Avenir Book"/>
        </w:rPr>
        <w:t>, 9.</w:t>
      </w:r>
    </w:p>
  </w:footnote>
  <w:footnote w:id="13">
    <w:p w14:paraId="3B1E20D2" w14:textId="79EA0BE0" w:rsidR="00155FE3" w:rsidRPr="005805DC" w:rsidRDefault="00155FE3"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805DC">
        <w:rPr>
          <w:rFonts w:ascii="Avenir Book" w:hAnsi="Avenir Book"/>
          <w:i/>
          <w:iCs/>
        </w:rPr>
        <w:t xml:space="preserve">TM, </w:t>
      </w:r>
      <w:r w:rsidRPr="005805DC">
        <w:rPr>
          <w:rFonts w:ascii="Avenir Book" w:hAnsi="Avenir Book"/>
        </w:rPr>
        <w:t>403.</w:t>
      </w:r>
    </w:p>
  </w:footnote>
  <w:footnote w:id="14">
    <w:p w14:paraId="2AE45080" w14:textId="22C3272C" w:rsidR="00155FE3" w:rsidRPr="00155FE3" w:rsidRDefault="00155FE3" w:rsidP="000D744A">
      <w:pPr>
        <w:pStyle w:val="FootnoteText"/>
        <w:spacing w:after="0" w:line="240" w:lineRule="auto"/>
      </w:pPr>
      <w:r>
        <w:rPr>
          <w:rStyle w:val="FootnoteReference"/>
        </w:rPr>
        <w:footnoteRef/>
      </w:r>
      <w:r>
        <w:t xml:space="preserve"> </w:t>
      </w:r>
      <w:r w:rsidRPr="005E4E68">
        <w:rPr>
          <w:rFonts w:ascii="Avenir Book" w:hAnsi="Avenir Book"/>
        </w:rPr>
        <w:t xml:space="preserve">DaVia and Lynch, </w:t>
      </w:r>
      <w:r w:rsidRPr="005E4E68">
        <w:rPr>
          <w:rFonts w:ascii="Avenir Book" w:hAnsi="Avenir Book"/>
          <w:i/>
          <w:iCs/>
        </w:rPr>
        <w:t>The Event of Meaning,</w:t>
      </w:r>
      <w:r>
        <w:rPr>
          <w:rFonts w:ascii="Avenir Book" w:hAnsi="Avenir Book"/>
          <w:i/>
          <w:iCs/>
        </w:rPr>
        <w:t xml:space="preserve"> </w:t>
      </w:r>
      <w:r>
        <w:rPr>
          <w:rFonts w:ascii="Avenir Book" w:hAnsi="Avenir Book"/>
        </w:rPr>
        <w:t>16–17.</w:t>
      </w:r>
    </w:p>
  </w:footnote>
  <w:footnote w:id="15">
    <w:p w14:paraId="674056B0" w14:textId="2B812969" w:rsidR="00155FE3" w:rsidRPr="00155FE3" w:rsidRDefault="00155FE3" w:rsidP="000D744A">
      <w:pPr>
        <w:pStyle w:val="FootnoteText"/>
        <w:spacing w:after="0" w:line="240" w:lineRule="auto"/>
      </w:pPr>
      <w:r>
        <w:rPr>
          <w:rStyle w:val="FootnoteReference"/>
        </w:rPr>
        <w:footnoteRef/>
      </w:r>
      <w:r>
        <w:t xml:space="preserve"> </w:t>
      </w:r>
      <w:r w:rsidRPr="005E4E68">
        <w:rPr>
          <w:rFonts w:ascii="Avenir Book" w:hAnsi="Avenir Book"/>
        </w:rPr>
        <w:t xml:space="preserve">DaVia and Lynch, </w:t>
      </w:r>
      <w:r w:rsidRPr="005E4E68">
        <w:rPr>
          <w:rFonts w:ascii="Avenir Book" w:hAnsi="Avenir Book"/>
          <w:i/>
          <w:iCs/>
        </w:rPr>
        <w:t>The Event of Meaning,</w:t>
      </w:r>
      <w:r>
        <w:rPr>
          <w:rFonts w:ascii="Avenir Book" w:hAnsi="Avenir Book"/>
          <w:i/>
          <w:iCs/>
        </w:rPr>
        <w:t xml:space="preserve"> </w:t>
      </w:r>
      <w:r>
        <w:rPr>
          <w:rFonts w:ascii="Avenir Book" w:hAnsi="Avenir Book"/>
        </w:rPr>
        <w:t>23.</w:t>
      </w:r>
    </w:p>
  </w:footnote>
  <w:footnote w:id="16">
    <w:p w14:paraId="746F4D5D" w14:textId="0459A926" w:rsidR="00155FE3" w:rsidRPr="005805DC" w:rsidRDefault="00155FE3" w:rsidP="000D744A">
      <w:pPr>
        <w:pStyle w:val="FootnoteText"/>
        <w:spacing w:after="0" w:line="240" w:lineRule="auto"/>
        <w:rPr>
          <w:rFonts w:ascii="Avenir Book" w:hAnsi="Avenir Book"/>
        </w:rPr>
      </w:pPr>
      <w:r w:rsidRPr="005805DC">
        <w:rPr>
          <w:rStyle w:val="FootnoteReference"/>
          <w:rFonts w:ascii="Avenir Book" w:hAnsi="Avenir Book"/>
        </w:rPr>
        <w:footnoteRef/>
      </w:r>
      <w:r w:rsidRPr="005805DC">
        <w:rPr>
          <w:rFonts w:ascii="Avenir Book" w:hAnsi="Avenir Book"/>
        </w:rPr>
        <w:t xml:space="preserve"> </w:t>
      </w:r>
      <w:r w:rsidRPr="005805DC">
        <w:rPr>
          <w:rFonts w:ascii="Avenir Book" w:hAnsi="Avenir Book"/>
          <w:i/>
          <w:iCs/>
        </w:rPr>
        <w:t xml:space="preserve">TM, </w:t>
      </w:r>
      <w:r w:rsidRPr="005805DC">
        <w:rPr>
          <w:rFonts w:ascii="Avenir Book" w:hAnsi="Avenir Book"/>
        </w:rPr>
        <w:t>474.</w:t>
      </w:r>
      <w:r>
        <w:rPr>
          <w:rFonts w:ascii="Avenir Book" w:hAnsi="Avenir Book"/>
        </w:rPr>
        <w:t xml:space="preserve"> [Quoted in DaVia and Lynch, </w:t>
      </w:r>
      <w:r>
        <w:rPr>
          <w:rFonts w:ascii="Avenir Book" w:hAnsi="Avenir Book"/>
          <w:i/>
          <w:iCs/>
        </w:rPr>
        <w:t xml:space="preserve">The Event of Meaning. </w:t>
      </w:r>
      <w:r>
        <w:rPr>
          <w:rFonts w:ascii="Avenir Book" w:hAnsi="Avenir Book"/>
        </w:rPr>
        <w:t>23.]</w:t>
      </w:r>
    </w:p>
  </w:footnote>
  <w:footnote w:id="17">
    <w:p w14:paraId="4595FBBE" w14:textId="428DFA06" w:rsidR="00A21EE6" w:rsidRPr="005E4E68" w:rsidRDefault="00A21EE6" w:rsidP="000D744A">
      <w:pPr>
        <w:pStyle w:val="FootnoteText"/>
        <w:spacing w:after="0" w:line="240" w:lineRule="auto"/>
        <w:jc w:val="both"/>
        <w:rPr>
          <w:rFonts w:ascii="Avenir Book" w:hAnsi="Avenir Book" w:cs="Times New Roman"/>
        </w:rPr>
      </w:pPr>
      <w:r w:rsidRPr="005E4E68">
        <w:rPr>
          <w:rStyle w:val="FootnoteReference"/>
          <w:rFonts w:ascii="Avenir Book" w:hAnsi="Avenir Book" w:cs="Times New Roman"/>
        </w:rPr>
        <w:footnoteRef/>
      </w:r>
      <w:r w:rsidRPr="005E4E68">
        <w:rPr>
          <w:rFonts w:ascii="Avenir Book" w:hAnsi="Avenir Book" w:cs="Times New Roman"/>
        </w:rPr>
        <w:t xml:space="preserve"> For a detailed account, see my essay: </w:t>
      </w:r>
      <w:r w:rsidR="00024695" w:rsidRPr="005E4E68">
        <w:rPr>
          <w:rFonts w:ascii="Avenir Book" w:hAnsi="Avenir Book"/>
          <w:color w:val="000000"/>
          <w:shd w:val="clear" w:color="auto" w:fill="FFFFFF"/>
        </w:rPr>
        <w:t>“</w:t>
      </w:r>
      <w:r w:rsidRPr="005E4E68">
        <w:rPr>
          <w:rFonts w:ascii="Avenir Book" w:hAnsi="Avenir Book" w:cs="Times New Roman"/>
        </w:rPr>
        <w:t xml:space="preserve">Die Überlieferung der Gegenwart und die Gegenwart der Überlieferung. Heidegger und Gadamer über Tradition,” </w:t>
      </w:r>
      <w:r w:rsidRPr="005E4E68">
        <w:rPr>
          <w:rFonts w:ascii="Avenir Book" w:hAnsi="Avenir Book" w:cs="Times New Roman"/>
          <w:i/>
        </w:rPr>
        <w:t>Internationales Jahrbuch für Hermeneutik</w:t>
      </w:r>
      <w:r w:rsidRPr="005E4E68">
        <w:rPr>
          <w:rFonts w:ascii="Avenir Book" w:hAnsi="Avenir Book" w:cs="Times New Roman"/>
        </w:rPr>
        <w:t xml:space="preserve"> 7 (2013)</w:t>
      </w:r>
      <w:r w:rsidR="00024695" w:rsidRPr="005E4E68">
        <w:rPr>
          <w:rFonts w:ascii="Avenir Book" w:hAnsi="Avenir Book" w:cs="Times New Roman"/>
        </w:rPr>
        <w:t>,</w:t>
      </w:r>
      <w:r w:rsidRPr="005E4E68">
        <w:rPr>
          <w:rFonts w:ascii="Avenir Book" w:hAnsi="Avenir Book" w:cs="Times New Roman"/>
        </w:rPr>
        <w:t xml:space="preserve"> 196–219.</w:t>
      </w:r>
    </w:p>
  </w:footnote>
  <w:footnote w:id="18">
    <w:p w14:paraId="0AD35AA8" w14:textId="7499098A" w:rsidR="003579CB" w:rsidRPr="003579CB" w:rsidRDefault="003579CB" w:rsidP="000D744A">
      <w:pPr>
        <w:pStyle w:val="FootnoteText"/>
        <w:spacing w:after="0" w:line="240" w:lineRule="auto"/>
      </w:pPr>
      <w:r>
        <w:rPr>
          <w:rStyle w:val="FootnoteReference"/>
        </w:rPr>
        <w:footnoteRef/>
      </w:r>
      <w:r>
        <w:t xml:space="preserve"> </w:t>
      </w:r>
      <w:r w:rsidRPr="005E4E68">
        <w:rPr>
          <w:rFonts w:ascii="Avenir Book" w:hAnsi="Avenir Book"/>
        </w:rPr>
        <w:t xml:space="preserve">DaVia and Lynch, </w:t>
      </w:r>
      <w:r w:rsidRPr="005E4E68">
        <w:rPr>
          <w:rFonts w:ascii="Avenir Book" w:hAnsi="Avenir Book"/>
          <w:i/>
          <w:iCs/>
        </w:rPr>
        <w:t>The Event of Meaning,</w:t>
      </w:r>
      <w:r>
        <w:rPr>
          <w:rFonts w:ascii="Avenir Book" w:hAnsi="Avenir Book"/>
          <w:i/>
          <w:iCs/>
        </w:rPr>
        <w:t xml:space="preserve"> </w:t>
      </w:r>
      <w:r>
        <w:rPr>
          <w:rFonts w:ascii="Avenir Book" w:hAnsi="Avenir Book"/>
        </w:rPr>
        <w:t>75–76.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1001" w14:textId="53842217"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AC2388">
      <w:rPr>
        <w:rFonts w:ascii="Avenir Book" w:hAnsi="Avenir Book"/>
        <w:sz w:val="20"/>
        <w:szCs w:val="20"/>
      </w:rPr>
      <w:t>6</w:t>
    </w:r>
    <w:r w:rsidRPr="00575A0E">
      <w:rPr>
        <w:rFonts w:ascii="Avenir Book" w:hAnsi="Avenir Book"/>
        <w:sz w:val="20"/>
        <w:szCs w:val="20"/>
      </w:rPr>
      <w:t xml:space="preserve">) </w:t>
    </w:r>
    <w:r w:rsidR="00AC2388">
      <w:rPr>
        <w:rFonts w:ascii="Avenir Book" w:hAnsi="Avenir Book"/>
        <w:sz w:val="20"/>
        <w:szCs w:val="20"/>
      </w:rPr>
      <w:t>35</w:t>
    </w:r>
    <w:r w:rsidRPr="00575A0E">
      <w:rPr>
        <w:rFonts w:ascii="Avenir Book" w:hAnsi="Avenir Book"/>
        <w:sz w:val="20"/>
        <w:szCs w:val="20"/>
      </w:rPr>
      <w:t>–</w:t>
    </w:r>
    <w:r w:rsidR="00E176D4">
      <w:rPr>
        <w:rFonts w:ascii="Avenir Book" w:hAnsi="Avenir Book"/>
        <w:sz w:val="20"/>
        <w:szCs w:val="20"/>
      </w:rPr>
      <w:t>42</w:t>
    </w:r>
    <w:r w:rsidRPr="00575A0E">
      <w:rPr>
        <w:rFonts w:ascii="Avenir Book" w:hAnsi="Avenir Book"/>
        <w:sz w:val="20"/>
        <w:szCs w:val="20"/>
      </w:rPr>
      <w:tab/>
    </w:r>
    <w:r w:rsidRPr="00575A0E">
      <w:rPr>
        <w:rFonts w:ascii="Avenir Book" w:hAnsi="Avenir Book"/>
        <w:sz w:val="20"/>
        <w:szCs w:val="20"/>
      </w:rPr>
      <w:tab/>
      <w:t xml:space="preserve"> </w:t>
    </w:r>
    <w:r w:rsidR="005805DC">
      <w:rPr>
        <w:rFonts w:ascii="Avenir Book" w:hAnsi="Avenir Book"/>
        <w:i/>
        <w:iCs/>
        <w:sz w:val="20"/>
        <w:szCs w:val="20"/>
      </w:rPr>
      <w:t>Olay’s</w:t>
    </w:r>
    <w:r w:rsidR="000D7E13">
      <w:rPr>
        <w:rFonts w:ascii="Avenir Book" w:hAnsi="Avenir Book"/>
        <w:i/>
        <w:iCs/>
        <w:sz w:val="20"/>
        <w:szCs w:val="20"/>
      </w:rPr>
      <w:t xml:space="preserve"> Comment</w:t>
    </w:r>
    <w:r w:rsidR="005805DC">
      <w:rPr>
        <w:rFonts w:ascii="Avenir Book" w:hAnsi="Avenir Book"/>
        <w:i/>
        <w:iCs/>
        <w:sz w:val="20"/>
        <w:szCs w:val="20"/>
      </w:rPr>
      <w:t>s</w:t>
    </w:r>
    <w:r w:rsidR="000D7E13">
      <w:rPr>
        <w:rFonts w:ascii="Avenir Book" w:hAnsi="Avenir Book"/>
        <w:i/>
        <w:iCs/>
        <w:sz w:val="20"/>
        <w:szCs w:val="20"/>
      </w:rPr>
      <w:t xml:space="preserve">: Event of Meaning </w:t>
    </w:r>
  </w:p>
  <w:p w14:paraId="123ED680" w14:textId="4A40A89B"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0D7E13">
      <w:rPr>
        <w:rFonts w:ascii="Avenir Book" w:hAnsi="Avenir Book"/>
        <w:sz w:val="20"/>
        <w:szCs w:val="20"/>
      </w:rPr>
      <w:t>Olay</w:t>
    </w:r>
    <w:r w:rsidRPr="00575A0E">
      <w:rPr>
        <w:rFonts w:ascii="Avenir Book" w:hAnsi="Avenir Book"/>
        <w:i/>
        <w:iCs/>
        <w:sz w:val="20"/>
        <w:szCs w:val="20"/>
      </w:rPr>
      <w:t xml:space="preserve"> </w:t>
    </w:r>
  </w:p>
  <w:p w14:paraId="0FB7A1B4"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8954834">
    <w:abstractNumId w:val="1"/>
  </w:num>
  <w:num w:numId="2" w16cid:durableId="152917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13"/>
    <w:rsid w:val="00003048"/>
    <w:rsid w:val="0001183B"/>
    <w:rsid w:val="00024695"/>
    <w:rsid w:val="00033A08"/>
    <w:rsid w:val="00064FD5"/>
    <w:rsid w:val="00065B3C"/>
    <w:rsid w:val="000D744A"/>
    <w:rsid w:val="000D7E13"/>
    <w:rsid w:val="00155FE3"/>
    <w:rsid w:val="0019435A"/>
    <w:rsid w:val="001F75C2"/>
    <w:rsid w:val="00270347"/>
    <w:rsid w:val="002B7046"/>
    <w:rsid w:val="002D4871"/>
    <w:rsid w:val="003579CB"/>
    <w:rsid w:val="00402E99"/>
    <w:rsid w:val="004D45B4"/>
    <w:rsid w:val="00523281"/>
    <w:rsid w:val="00575A0E"/>
    <w:rsid w:val="005805DC"/>
    <w:rsid w:val="00583715"/>
    <w:rsid w:val="005E4E68"/>
    <w:rsid w:val="006915B2"/>
    <w:rsid w:val="00706209"/>
    <w:rsid w:val="00726E4B"/>
    <w:rsid w:val="007B4F91"/>
    <w:rsid w:val="007C713C"/>
    <w:rsid w:val="008B1346"/>
    <w:rsid w:val="0095529A"/>
    <w:rsid w:val="009D2351"/>
    <w:rsid w:val="00A00FD4"/>
    <w:rsid w:val="00A21EE6"/>
    <w:rsid w:val="00A84930"/>
    <w:rsid w:val="00AC2388"/>
    <w:rsid w:val="00B51346"/>
    <w:rsid w:val="00B5687E"/>
    <w:rsid w:val="00B757DC"/>
    <w:rsid w:val="00BB251E"/>
    <w:rsid w:val="00BE32D9"/>
    <w:rsid w:val="00BE7201"/>
    <w:rsid w:val="00BF1D62"/>
    <w:rsid w:val="00C24B33"/>
    <w:rsid w:val="00C36636"/>
    <w:rsid w:val="00C50860"/>
    <w:rsid w:val="00CB00F4"/>
    <w:rsid w:val="00D4272A"/>
    <w:rsid w:val="00D84A37"/>
    <w:rsid w:val="00D95FF7"/>
    <w:rsid w:val="00E176D4"/>
    <w:rsid w:val="00F20BE8"/>
    <w:rsid w:val="00FD5A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1B79"/>
  <w15:chartTrackingRefBased/>
  <w15:docId w15:val="{E09E82EA-6F76-3F47-8981-BF59E1BD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0E"/>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im">
    <w:name w:val="im"/>
    <w:basedOn w:val="DefaultParagraphFont"/>
    <w:rsid w:val="00726E4B"/>
  </w:style>
  <w:style w:type="paragraph" w:styleId="Revision">
    <w:name w:val="Revision"/>
    <w:hidden/>
    <w:uiPriority w:val="99"/>
    <w:semiHidden/>
    <w:rsid w:val="00A21EE6"/>
    <w:pPr>
      <w:spacing w:after="0" w:line="240" w:lineRule="auto"/>
    </w:pPr>
  </w:style>
  <w:style w:type="character" w:customStyle="1" w:styleId="apple-converted-space">
    <w:name w:val="apple-converted-space"/>
    <w:basedOn w:val="DefaultParagraphFont"/>
    <w:rsid w:val="00A21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org/10.21423/wqr9wt2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cid.org/0000-0001-9713-141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96</TotalTime>
  <Pages>8</Pages>
  <Words>2476</Words>
  <Characters>13420</Characters>
  <Application>Microsoft Office Word</Application>
  <DocSecurity>0</DocSecurity>
  <Lines>216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19</cp:revision>
  <dcterms:created xsi:type="dcterms:W3CDTF">2025-12-08T01:04:00Z</dcterms:created>
  <dcterms:modified xsi:type="dcterms:W3CDTF">2025-12-29T20:49:00Z</dcterms:modified>
</cp:coreProperties>
</file>