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7B78" w14:textId="51A25B3E" w:rsidR="00B757DC" w:rsidRDefault="00F7403C" w:rsidP="00575A0E">
      <w:pPr>
        <w:pStyle w:val="Title"/>
        <w:spacing w:before="240" w:after="200"/>
        <w:contextualSpacing w:val="0"/>
        <w:jc w:val="center"/>
        <w:rPr>
          <w:rFonts w:ascii="Avenir Book" w:hAnsi="Avenir Book"/>
          <w:b/>
          <w:bCs/>
          <w:i/>
          <w:iCs/>
          <w:color w:val="000000" w:themeColor="text1"/>
          <w:sz w:val="36"/>
          <w:szCs w:val="36"/>
        </w:rPr>
      </w:pPr>
      <w:r>
        <w:rPr>
          <w:rFonts w:ascii="Avenir Book" w:hAnsi="Avenir Book"/>
          <w:b/>
          <w:bCs/>
          <w:color w:val="000000" w:themeColor="text1"/>
          <w:sz w:val="36"/>
          <w:szCs w:val="36"/>
        </w:rPr>
        <w:t xml:space="preserve">Dostal’s </w:t>
      </w:r>
      <w:r w:rsidR="000E62E7">
        <w:rPr>
          <w:rFonts w:ascii="Avenir Book" w:hAnsi="Avenir Book"/>
          <w:b/>
          <w:bCs/>
          <w:color w:val="000000" w:themeColor="text1"/>
          <w:sz w:val="36"/>
          <w:szCs w:val="36"/>
        </w:rPr>
        <w:t xml:space="preserve">Comments on the </w:t>
      </w:r>
      <w:r w:rsidR="000E62E7" w:rsidRPr="000E62E7">
        <w:rPr>
          <w:rFonts w:ascii="Avenir Book" w:hAnsi="Avenir Book"/>
          <w:b/>
          <w:bCs/>
          <w:i/>
          <w:iCs/>
          <w:color w:val="000000" w:themeColor="text1"/>
          <w:sz w:val="36"/>
          <w:szCs w:val="36"/>
        </w:rPr>
        <w:t>Event of Meaning in Gadamer’s Hermeneutics</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350"/>
      </w:tblGrid>
      <w:tr w:rsidR="000E62E7" w:rsidRPr="001904D6" w14:paraId="498FD432" w14:textId="77777777" w:rsidTr="00FF38BB">
        <w:tc>
          <w:tcPr>
            <w:tcW w:w="9350" w:type="dxa"/>
          </w:tcPr>
          <w:p w14:paraId="373D1FD3" w14:textId="417A3F5D" w:rsidR="000E62E7" w:rsidRPr="001904D6" w:rsidRDefault="000E62E7" w:rsidP="00926047">
            <w:pPr>
              <w:spacing w:before="120" w:after="0" w:line="240" w:lineRule="auto"/>
              <w:jc w:val="center"/>
              <w:rPr>
                <w:rFonts w:ascii="Avenir Book" w:eastAsiaTheme="majorEastAsia" w:hAnsi="Avenir Book" w:cstheme="majorBidi"/>
                <w:b/>
                <w:bCs/>
                <w:color w:val="000000" w:themeColor="text1"/>
                <w:sz w:val="24"/>
                <w:szCs w:val="24"/>
              </w:rPr>
            </w:pPr>
            <w:r>
              <w:rPr>
                <w:rFonts w:ascii="Avenir Book" w:eastAsiaTheme="majorEastAsia" w:hAnsi="Avenir Book" w:cstheme="majorBidi"/>
                <w:b/>
                <w:bCs/>
                <w:color w:val="000000" w:themeColor="text1"/>
                <w:sz w:val="24"/>
                <w:szCs w:val="24"/>
              </w:rPr>
              <w:t>Robert Dostal</w:t>
            </w:r>
          </w:p>
          <w:p w14:paraId="3EFAA96F" w14:textId="4A370F62" w:rsidR="000E62E7" w:rsidRPr="009D4950" w:rsidRDefault="009D4950" w:rsidP="00926047">
            <w:pPr>
              <w:spacing w:line="240" w:lineRule="auto"/>
              <w:jc w:val="center"/>
              <w:rPr>
                <w:rFonts w:ascii="Avenir Book" w:hAnsi="Avenir Book"/>
                <w:b/>
                <w:bCs/>
                <w:szCs w:val="24"/>
              </w:rPr>
            </w:pPr>
            <w:r>
              <w:rPr>
                <w:rFonts w:ascii="Avenir Book" w:hAnsi="Avenir Book"/>
                <w:color w:val="000000" w:themeColor="text1"/>
                <w:sz w:val="24"/>
                <w:szCs w:val="24"/>
              </w:rPr>
              <w:t xml:space="preserve">Bryn Mawr </w:t>
            </w:r>
            <w:r w:rsidR="0074762D">
              <w:rPr>
                <w:rFonts w:ascii="Avenir Book" w:hAnsi="Avenir Book"/>
                <w:color w:val="000000" w:themeColor="text1"/>
                <w:sz w:val="24"/>
                <w:szCs w:val="24"/>
              </w:rPr>
              <w:t>College</w:t>
            </w:r>
            <w:r w:rsidR="000E62E7" w:rsidRPr="001904D6">
              <w:rPr>
                <w:rFonts w:ascii="Avenir Book" w:hAnsi="Avenir Book"/>
                <w:color w:val="000000" w:themeColor="text1"/>
                <w:sz w:val="24"/>
                <w:szCs w:val="24"/>
              </w:rPr>
              <w:br/>
            </w:r>
            <w:r w:rsidRPr="009D4950">
              <w:rPr>
                <w:rFonts w:ascii="Avenir Book" w:hAnsi="Avenir Book"/>
                <w:sz w:val="24"/>
                <w:szCs w:val="24"/>
              </w:rPr>
              <w:t>rdostal@brynmawr.edu</w:t>
            </w:r>
          </w:p>
          <w:p w14:paraId="1997F313" w14:textId="4424F825" w:rsidR="006E6B2B" w:rsidRPr="00CA4CD9" w:rsidRDefault="000E62E7" w:rsidP="006E6B2B">
            <w:pPr>
              <w:pStyle w:val="Heading3"/>
              <w:spacing w:before="0" w:after="240"/>
              <w:jc w:val="center"/>
              <w:rPr>
                <w:rFonts w:ascii="Avenir Book" w:hAnsi="Avenir Book"/>
                <w:sz w:val="20"/>
                <w:szCs w:val="20"/>
              </w:rPr>
            </w:pPr>
            <w:r w:rsidRPr="00CA4CD9">
              <w:rPr>
                <w:rFonts w:ascii="Avenir Book" w:hAnsi="Avenir Book"/>
                <w:b w:val="0"/>
                <w:bCs w:val="0"/>
                <w:sz w:val="20"/>
                <w:szCs w:val="20"/>
              </w:rPr>
              <w:t xml:space="preserve">ORCID: </w:t>
            </w:r>
            <w:hyperlink r:id="rId7" w:history="1">
              <w:r w:rsidR="000733C2" w:rsidRPr="00CA4CD9">
                <w:rPr>
                  <w:rStyle w:val="Hyperlink"/>
                  <w:rFonts w:ascii="Avenir Book" w:hAnsi="Avenir Book"/>
                  <w:sz w:val="20"/>
                  <w:szCs w:val="20"/>
                </w:rPr>
                <w:t>https://orcid.org/0000-0002-1209-9162</w:t>
              </w:r>
            </w:hyperlink>
            <w:r w:rsidR="000733C2" w:rsidRPr="00CA4CD9">
              <w:rPr>
                <w:rFonts w:ascii="Avenir Book" w:hAnsi="Avenir Book"/>
                <w:sz w:val="20"/>
                <w:szCs w:val="20"/>
              </w:rPr>
              <w:t xml:space="preserve"> </w:t>
            </w:r>
          </w:p>
          <w:p w14:paraId="6DD61927" w14:textId="37666055" w:rsidR="000E62E7" w:rsidRPr="001904D6" w:rsidRDefault="000E62E7" w:rsidP="00FF38BB">
            <w:pPr>
              <w:spacing w:before="240" w:after="240" w:line="240" w:lineRule="auto"/>
              <w:jc w:val="right"/>
              <w:rPr>
                <w:rFonts w:ascii="Avenir Book" w:hAnsi="Avenir Book"/>
                <w:color w:val="000000" w:themeColor="text1"/>
                <w:sz w:val="20"/>
                <w:szCs w:val="20"/>
              </w:rPr>
            </w:pPr>
          </w:p>
        </w:tc>
      </w:tr>
      <w:tr w:rsidR="000E62E7" w:rsidRPr="00723610" w14:paraId="128DF413" w14:textId="77777777" w:rsidTr="00FF38BB">
        <w:tc>
          <w:tcPr>
            <w:tcW w:w="9350" w:type="dxa"/>
          </w:tcPr>
          <w:p w14:paraId="2DCC52B7" w14:textId="71862AA3" w:rsidR="000E62E7" w:rsidRPr="00723610" w:rsidRDefault="000E62E7" w:rsidP="00FF38BB">
            <w:pPr>
              <w:pStyle w:val="Heading3"/>
              <w:spacing w:before="0" w:after="120"/>
              <w:rPr>
                <w:rFonts w:ascii="Avenir Book" w:hAnsi="Avenir Book"/>
                <w:b w:val="0"/>
                <w:bCs w:val="0"/>
                <w:sz w:val="20"/>
                <w:szCs w:val="20"/>
              </w:rPr>
            </w:pPr>
            <w:r w:rsidRPr="004C266D">
              <w:rPr>
                <w:rFonts w:ascii="Avenir Book" w:hAnsi="Avenir Book"/>
                <w:b w:val="0"/>
                <w:bCs w:val="0"/>
                <w:sz w:val="20"/>
                <w:szCs w:val="20"/>
              </w:rPr>
              <w:t>DOI:</w:t>
            </w:r>
            <w:r w:rsidR="00F50642">
              <w:rPr>
                <w:rFonts w:ascii="Avenir Book" w:hAnsi="Avenir Book"/>
                <w:b w:val="0"/>
                <w:bCs w:val="0"/>
                <w:sz w:val="20"/>
                <w:szCs w:val="20"/>
              </w:rPr>
              <w:t xml:space="preserve"> </w:t>
            </w:r>
            <w:hyperlink r:id="rId8" w:history="1">
              <w:r w:rsidR="00F50642" w:rsidRPr="00C233EA">
                <w:rPr>
                  <w:rStyle w:val="Hyperlink"/>
                  <w:rFonts w:ascii="Avenir Book" w:hAnsi="Avenir Book"/>
                  <w:b w:val="0"/>
                  <w:bCs w:val="0"/>
                  <w:sz w:val="20"/>
                  <w:szCs w:val="20"/>
                </w:rPr>
                <w:t>http://doi.org/10.21423/r6dyhn04</w:t>
              </w:r>
            </w:hyperlink>
            <w:r w:rsidR="00F50642">
              <w:rPr>
                <w:rFonts w:ascii="Avenir Book" w:hAnsi="Avenir Book"/>
                <w:b w:val="0"/>
                <w:bCs w:val="0"/>
                <w:sz w:val="20"/>
                <w:szCs w:val="20"/>
              </w:rPr>
              <w:t xml:space="preserve">     </w:t>
            </w:r>
          </w:p>
        </w:tc>
      </w:tr>
    </w:tbl>
    <w:p w14:paraId="2D407F09" w14:textId="77777777" w:rsidR="009D3E3F" w:rsidRPr="00CA0E9B" w:rsidRDefault="009D3E3F" w:rsidP="003A47B8">
      <w:pPr>
        <w:pStyle w:val="Heading3"/>
        <w:spacing w:before="200" w:after="200"/>
        <w:rPr>
          <w:rFonts w:ascii="Avenir Book" w:hAnsi="Avenir Book"/>
          <w:color w:val="000000" w:themeColor="text1"/>
        </w:rPr>
      </w:pPr>
      <w:r w:rsidRPr="00CA0E9B">
        <w:rPr>
          <w:rFonts w:ascii="Avenir Book" w:hAnsi="Avenir Book"/>
          <w:color w:val="000000" w:themeColor="text1"/>
        </w:rPr>
        <w:t>Abstract</w:t>
      </w:r>
    </w:p>
    <w:p w14:paraId="7A70F8D2" w14:textId="602ACE7C" w:rsidR="005E3BFB" w:rsidRPr="005E3BFB" w:rsidRDefault="009D3E3F" w:rsidP="005E3BFB">
      <w:pPr>
        <w:rPr>
          <w:rFonts w:ascii="Avenir Book" w:hAnsi="Avenir Book"/>
          <w:color w:val="000000" w:themeColor="text1"/>
        </w:rPr>
      </w:pPr>
      <w:r>
        <w:rPr>
          <w:rFonts w:ascii="Avenir Book" w:hAnsi="Avenir Book"/>
          <w:color w:val="000000" w:themeColor="text1"/>
        </w:rPr>
        <w:t>This essay is Robert Dostal’s commentary for a book symposium</w:t>
      </w:r>
      <w:r w:rsidRPr="009D3E3F">
        <w:rPr>
          <w:rFonts w:ascii="Avenir Book" w:hAnsi="Avenir Book"/>
          <w:color w:val="000000" w:themeColor="text1"/>
        </w:rPr>
        <w:t xml:space="preserve"> </w:t>
      </w:r>
      <w:r>
        <w:rPr>
          <w:rFonts w:ascii="Avenir Book" w:hAnsi="Avenir Book"/>
          <w:color w:val="000000" w:themeColor="text1"/>
        </w:rPr>
        <w:t xml:space="preserve">on the recently published book </w:t>
      </w:r>
      <w:r>
        <w:rPr>
          <w:rFonts w:ascii="Avenir Book" w:hAnsi="Avenir Book"/>
          <w:i/>
          <w:iCs/>
          <w:color w:val="000000" w:themeColor="text1"/>
        </w:rPr>
        <w:t>The Event of Meaning in Gadamer’s Hermeneutics</w:t>
      </w:r>
      <w:r>
        <w:rPr>
          <w:rFonts w:ascii="Avenir Book" w:hAnsi="Avenir Book"/>
          <w:color w:val="000000" w:themeColor="text1"/>
        </w:rPr>
        <w:t xml:space="preserve"> </w:t>
      </w:r>
      <w:r w:rsidR="003A65D4">
        <w:rPr>
          <w:rFonts w:ascii="Avenir Book" w:hAnsi="Avenir Book"/>
          <w:color w:val="000000" w:themeColor="text1"/>
        </w:rPr>
        <w:t xml:space="preserve">(Routledge 2024) </w:t>
      </w:r>
      <w:r>
        <w:rPr>
          <w:rFonts w:ascii="Avenir Book" w:hAnsi="Avenir Book"/>
          <w:color w:val="000000" w:themeColor="text1"/>
        </w:rPr>
        <w:t xml:space="preserve">by Carlo </w:t>
      </w:r>
      <w:proofErr w:type="spellStart"/>
      <w:r>
        <w:rPr>
          <w:rFonts w:ascii="Avenir Book" w:hAnsi="Avenir Book"/>
          <w:color w:val="000000" w:themeColor="text1"/>
        </w:rPr>
        <w:t>DaVia</w:t>
      </w:r>
      <w:proofErr w:type="spellEnd"/>
      <w:r>
        <w:rPr>
          <w:rFonts w:ascii="Avenir Book" w:hAnsi="Avenir Book"/>
          <w:color w:val="000000" w:themeColor="text1"/>
        </w:rPr>
        <w:t xml:space="preserve"> and Greg Lynch presented at the 2025 annual </w:t>
      </w:r>
      <w:r w:rsidR="00DD0B28">
        <w:rPr>
          <w:rFonts w:ascii="Avenir Book" w:hAnsi="Avenir Book"/>
          <w:color w:val="000000" w:themeColor="text1"/>
        </w:rPr>
        <w:t>conference</w:t>
      </w:r>
      <w:r>
        <w:rPr>
          <w:rFonts w:ascii="Avenir Book" w:hAnsi="Avenir Book"/>
          <w:color w:val="000000" w:themeColor="text1"/>
        </w:rPr>
        <w:t xml:space="preserve"> of the </w:t>
      </w:r>
      <w:r>
        <w:rPr>
          <w:rFonts w:ascii="Avenir Book" w:hAnsi="Avenir Book"/>
        </w:rPr>
        <w:t>North American Society for Philosophical Hermeneutics</w:t>
      </w:r>
      <w:r>
        <w:rPr>
          <w:rFonts w:ascii="Avenir Book" w:hAnsi="Avenir Book"/>
          <w:color w:val="000000" w:themeColor="text1"/>
        </w:rPr>
        <w:t>.</w:t>
      </w:r>
      <w:r w:rsidR="005E3BFB" w:rsidRPr="005E3BFB">
        <w:rPr>
          <w:rFonts w:ascii="Avenir Book" w:hAnsi="Avenir Book"/>
        </w:rPr>
        <w:t> </w:t>
      </w:r>
      <w:r w:rsidR="005E3BFB">
        <w:rPr>
          <w:rFonts w:ascii="Avenir Book" w:hAnsi="Avenir Book"/>
        </w:rPr>
        <w:t>Dostal’s</w:t>
      </w:r>
      <w:r w:rsidR="005E3BFB" w:rsidRPr="005E3BFB">
        <w:rPr>
          <w:rFonts w:ascii="Avenir Book" w:hAnsi="Avenir Book"/>
        </w:rPr>
        <w:t xml:space="preserve"> comments </w:t>
      </w:r>
      <w:r w:rsidR="005E3BFB">
        <w:rPr>
          <w:rFonts w:ascii="Avenir Book" w:hAnsi="Avenir Book"/>
        </w:rPr>
        <w:t>focus on</w:t>
      </w:r>
      <w:r w:rsidR="005E3BFB" w:rsidRPr="005E3BFB">
        <w:rPr>
          <w:rFonts w:ascii="Avenir Book" w:hAnsi="Avenir Book"/>
        </w:rPr>
        <w:t xml:space="preserve"> three questions. </w:t>
      </w:r>
      <w:r w:rsidR="005E3BFB">
        <w:rPr>
          <w:rFonts w:ascii="Avenir Book" w:hAnsi="Avenir Book"/>
        </w:rPr>
        <w:t xml:space="preserve">The first question concerns how </w:t>
      </w:r>
      <w:r w:rsidR="005E3BFB" w:rsidRPr="005E3BFB">
        <w:rPr>
          <w:rFonts w:ascii="Avenir Book" w:hAnsi="Avenir Book"/>
        </w:rPr>
        <w:t>we might square Gadamer's insistence on occasionality and ideality</w:t>
      </w:r>
      <w:r w:rsidR="005E3BFB">
        <w:rPr>
          <w:rFonts w:ascii="Avenir Book" w:hAnsi="Avenir Book"/>
        </w:rPr>
        <w:t xml:space="preserve">. </w:t>
      </w:r>
      <w:r w:rsidR="005E3BFB" w:rsidRPr="005E3BFB">
        <w:rPr>
          <w:rFonts w:ascii="Avenir Book" w:hAnsi="Avenir Book"/>
        </w:rPr>
        <w:t>The second question concerns the account given about doxastic and substantive interpretations. The third question concerns the meaning of meaning.</w:t>
      </w:r>
    </w:p>
    <w:p w14:paraId="0F20450D" w14:textId="46E928C3" w:rsidR="003A47B8" w:rsidRPr="009D3E3F" w:rsidRDefault="009D3E3F" w:rsidP="003A47B8">
      <w:pPr>
        <w:pBdr>
          <w:bottom w:val="single" w:sz="6" w:space="1" w:color="auto"/>
        </w:pBdr>
        <w:spacing w:before="120" w:after="360"/>
        <w:rPr>
          <w:rFonts w:ascii="Avenir Book" w:hAnsi="Avenir Book"/>
          <w:color w:val="000000" w:themeColor="text1"/>
        </w:rPr>
      </w:pPr>
      <w:r w:rsidRPr="00CA0E9B">
        <w:rPr>
          <w:rFonts w:ascii="Avenir Book" w:hAnsi="Avenir Book"/>
          <w:b/>
          <w:bCs/>
          <w:color w:val="000000" w:themeColor="text1"/>
          <w:sz w:val="24"/>
          <w:szCs w:val="24"/>
        </w:rPr>
        <w:t>Keywords:</w:t>
      </w:r>
      <w:r w:rsidRPr="00CA0E9B">
        <w:rPr>
          <w:rFonts w:ascii="Avenir Book" w:hAnsi="Avenir Book"/>
          <w:b/>
          <w:bCs/>
          <w:color w:val="000000" w:themeColor="text1"/>
        </w:rPr>
        <w:t xml:space="preserve"> </w:t>
      </w:r>
      <w:r w:rsidRPr="00CA0E9B">
        <w:rPr>
          <w:rFonts w:ascii="Avenir Book" w:hAnsi="Avenir Book"/>
          <w:color w:val="000000" w:themeColor="text1"/>
        </w:rPr>
        <w:t xml:space="preserve">Gadamer, </w:t>
      </w:r>
      <w:r>
        <w:rPr>
          <w:rFonts w:ascii="Avenir Book" w:hAnsi="Avenir Book"/>
          <w:color w:val="000000" w:themeColor="text1"/>
        </w:rPr>
        <w:t>Event of Meaning</w:t>
      </w:r>
      <w:r w:rsidRPr="00CA0E9B">
        <w:rPr>
          <w:rFonts w:ascii="Avenir Book" w:hAnsi="Avenir Book"/>
          <w:color w:val="000000" w:themeColor="text1"/>
        </w:rPr>
        <w:t xml:space="preserve">, Hermeneutics, </w:t>
      </w:r>
      <w:r>
        <w:rPr>
          <w:rFonts w:ascii="Avenir Book" w:hAnsi="Avenir Book"/>
          <w:color w:val="000000" w:themeColor="text1"/>
        </w:rPr>
        <w:t>Occasionality</w:t>
      </w:r>
      <w:r w:rsidRPr="00CA0E9B">
        <w:rPr>
          <w:rFonts w:ascii="Avenir Book" w:hAnsi="Avenir Book"/>
          <w:color w:val="000000" w:themeColor="text1"/>
        </w:rPr>
        <w:t xml:space="preserve">, </w:t>
      </w:r>
      <w:r>
        <w:rPr>
          <w:rFonts w:ascii="Avenir Book" w:hAnsi="Avenir Book"/>
          <w:color w:val="000000" w:themeColor="text1"/>
        </w:rPr>
        <w:t>Ideality</w:t>
      </w:r>
    </w:p>
    <w:p w14:paraId="144D9728" w14:textId="2184F46E" w:rsidR="000E62E7" w:rsidRPr="00DD2CF4" w:rsidRDefault="000E62E7" w:rsidP="000E62E7">
      <w:pPr>
        <w:ind w:firstLine="720"/>
        <w:rPr>
          <w:rFonts w:ascii="Avenir Book" w:hAnsi="Avenir Book"/>
          <w:sz w:val="24"/>
          <w:szCs w:val="24"/>
        </w:rPr>
      </w:pPr>
      <w:r w:rsidRPr="00DD2CF4">
        <w:rPr>
          <w:rFonts w:ascii="Avenir Book" w:hAnsi="Avenir Book"/>
          <w:sz w:val="24"/>
          <w:szCs w:val="24"/>
        </w:rPr>
        <w:t>This is an important book on Gadamer’s hermeneutics. I am glad to have been asked to comment on it. It’s given me a lot to think about</w:t>
      </w:r>
      <w:r w:rsidR="0074762D">
        <w:rPr>
          <w:rFonts w:ascii="Avenir Book" w:hAnsi="Avenir Book"/>
          <w:sz w:val="24"/>
          <w:szCs w:val="24"/>
        </w:rPr>
        <w:t xml:space="preserve"> and</w:t>
      </w:r>
      <w:r w:rsidRPr="00DD2CF4">
        <w:rPr>
          <w:rFonts w:ascii="Avenir Book" w:hAnsi="Avenir Book"/>
          <w:sz w:val="24"/>
          <w:szCs w:val="24"/>
        </w:rPr>
        <w:t xml:space="preserve"> has taught me a thing or two.</w:t>
      </w:r>
    </w:p>
    <w:p w14:paraId="7FACA4AE" w14:textId="04A1DDA2" w:rsidR="000E62E7" w:rsidRPr="00DD2CF4" w:rsidRDefault="000E62E7" w:rsidP="000E62E7">
      <w:pPr>
        <w:ind w:firstLine="720"/>
        <w:rPr>
          <w:rFonts w:ascii="Avenir Book" w:hAnsi="Avenir Book"/>
          <w:sz w:val="24"/>
          <w:szCs w:val="24"/>
        </w:rPr>
      </w:pPr>
      <w:r w:rsidRPr="00DD2CF4">
        <w:rPr>
          <w:rFonts w:ascii="Avenir Book" w:hAnsi="Avenir Book"/>
          <w:sz w:val="24"/>
          <w:szCs w:val="24"/>
        </w:rPr>
        <w:t>There is much to like about the book. I’ll first mention a few of these</w:t>
      </w:r>
      <w:r w:rsidR="0074762D">
        <w:rPr>
          <w:rFonts w:ascii="Avenir Book" w:hAnsi="Avenir Book"/>
          <w:sz w:val="24"/>
          <w:szCs w:val="24"/>
        </w:rPr>
        <w:t xml:space="preserve"> points</w:t>
      </w:r>
      <w:r w:rsidRPr="00DD2CF4">
        <w:rPr>
          <w:rFonts w:ascii="Avenir Book" w:hAnsi="Avenir Book"/>
          <w:sz w:val="24"/>
          <w:szCs w:val="24"/>
        </w:rPr>
        <w:t xml:space="preserve">. </w:t>
      </w:r>
    </w:p>
    <w:p w14:paraId="1D36AE89" w14:textId="2F883889" w:rsidR="000E62E7" w:rsidRPr="00DD2CF4" w:rsidRDefault="000E62E7" w:rsidP="000E62E7">
      <w:pPr>
        <w:ind w:firstLine="720"/>
        <w:rPr>
          <w:rFonts w:ascii="Avenir Book" w:hAnsi="Avenir Book"/>
          <w:sz w:val="24"/>
          <w:szCs w:val="24"/>
        </w:rPr>
      </w:pPr>
      <w:r w:rsidRPr="00DD2CF4">
        <w:rPr>
          <w:rFonts w:ascii="Avenir Book" w:hAnsi="Avenir Book"/>
          <w:sz w:val="24"/>
          <w:szCs w:val="24"/>
        </w:rPr>
        <w:t>It takes up many of the leading interpretations of Gadamer and his hermeneutics—</w:t>
      </w:r>
      <w:r w:rsidR="0074762D">
        <w:rPr>
          <w:rFonts w:ascii="Avenir Book" w:hAnsi="Avenir Book"/>
          <w:sz w:val="24"/>
          <w:szCs w:val="24"/>
        </w:rPr>
        <w:t xml:space="preserve">Brice </w:t>
      </w:r>
      <w:proofErr w:type="spellStart"/>
      <w:r w:rsidRPr="00DD2CF4">
        <w:rPr>
          <w:rFonts w:ascii="Avenir Book" w:hAnsi="Avenir Book"/>
          <w:sz w:val="24"/>
          <w:szCs w:val="24"/>
        </w:rPr>
        <w:t>Wachterhauser</w:t>
      </w:r>
      <w:proofErr w:type="spellEnd"/>
      <w:r w:rsidRPr="00DD2CF4">
        <w:rPr>
          <w:rFonts w:ascii="Avenir Book" w:hAnsi="Avenir Book"/>
          <w:sz w:val="24"/>
          <w:szCs w:val="24"/>
        </w:rPr>
        <w:t xml:space="preserve">, </w:t>
      </w:r>
      <w:r w:rsidR="0074762D">
        <w:rPr>
          <w:rFonts w:ascii="Avenir Book" w:hAnsi="Avenir Book"/>
          <w:sz w:val="24"/>
          <w:szCs w:val="24"/>
        </w:rPr>
        <w:t xml:space="preserve">Charles </w:t>
      </w:r>
      <w:r w:rsidRPr="00DD2CF4">
        <w:rPr>
          <w:rFonts w:ascii="Avenir Book" w:hAnsi="Avenir Book"/>
          <w:sz w:val="24"/>
          <w:szCs w:val="24"/>
        </w:rPr>
        <w:t xml:space="preserve">Taylor, </w:t>
      </w:r>
      <w:r w:rsidR="0074762D">
        <w:rPr>
          <w:rFonts w:ascii="Avenir Book" w:hAnsi="Avenir Book"/>
          <w:sz w:val="24"/>
          <w:szCs w:val="24"/>
        </w:rPr>
        <w:t xml:space="preserve">Kristin </w:t>
      </w:r>
      <w:r w:rsidRPr="00DD2CF4">
        <w:rPr>
          <w:rFonts w:ascii="Avenir Book" w:hAnsi="Avenir Book"/>
          <w:sz w:val="24"/>
          <w:szCs w:val="24"/>
        </w:rPr>
        <w:t xml:space="preserve">Gjesdal among others (and </w:t>
      </w:r>
      <w:proofErr w:type="gramStart"/>
      <w:r w:rsidRPr="00DD2CF4">
        <w:rPr>
          <w:rFonts w:ascii="Avenir Book" w:hAnsi="Avenir Book"/>
          <w:sz w:val="24"/>
          <w:szCs w:val="24"/>
        </w:rPr>
        <w:t>myself</w:t>
      </w:r>
      <w:proofErr w:type="gramEnd"/>
      <w:r w:rsidRPr="00DD2CF4">
        <w:rPr>
          <w:rFonts w:ascii="Avenir Book" w:hAnsi="Avenir Book"/>
          <w:sz w:val="24"/>
          <w:szCs w:val="24"/>
        </w:rPr>
        <w:t>).</w:t>
      </w:r>
      <w:r w:rsidR="0074762D">
        <w:rPr>
          <w:rFonts w:ascii="Avenir Book" w:hAnsi="Avenir Book"/>
          <w:sz w:val="24"/>
          <w:szCs w:val="24"/>
        </w:rPr>
        <w:t xml:space="preserve"> </w:t>
      </w:r>
      <w:proofErr w:type="spellStart"/>
      <w:r w:rsidRPr="00DD2CF4">
        <w:rPr>
          <w:rFonts w:ascii="Avenir Book" w:hAnsi="Avenir Book"/>
          <w:sz w:val="24"/>
          <w:szCs w:val="24"/>
        </w:rPr>
        <w:t>DaVia</w:t>
      </w:r>
      <w:proofErr w:type="spellEnd"/>
      <w:r w:rsidRPr="00DD2CF4">
        <w:rPr>
          <w:rFonts w:ascii="Avenir Book" w:hAnsi="Avenir Book"/>
          <w:sz w:val="24"/>
          <w:szCs w:val="24"/>
        </w:rPr>
        <w:t xml:space="preserve"> and Lynch are generous and charitable to these authors as they criticize them. I think the book’s critique of Gjesdal is important because she provides one of the leading critiques of Gadamer’s hermeneutics and the book’s critique is appropriate </w:t>
      </w:r>
      <w:proofErr w:type="gramStart"/>
      <w:r w:rsidRPr="00DD2CF4">
        <w:rPr>
          <w:rFonts w:ascii="Avenir Book" w:hAnsi="Avenir Book"/>
          <w:sz w:val="24"/>
          <w:szCs w:val="24"/>
        </w:rPr>
        <w:lastRenderedPageBreak/>
        <w:t>inasmuch as</w:t>
      </w:r>
      <w:proofErr w:type="gramEnd"/>
      <w:r w:rsidRPr="00DD2CF4">
        <w:rPr>
          <w:rFonts w:ascii="Avenir Book" w:hAnsi="Avenir Book"/>
          <w:sz w:val="24"/>
          <w:szCs w:val="24"/>
        </w:rPr>
        <w:t xml:space="preserve"> it acknowledges that Gadamer’s reading of Schleiermacher is not entirely adequate, yet the book shows well what is right about Gadamer’s reading of Schleiermacher. </w:t>
      </w:r>
    </w:p>
    <w:p w14:paraId="55D2730B" w14:textId="567CC597" w:rsidR="000E62E7" w:rsidRPr="00DD2CF4" w:rsidRDefault="000E62E7" w:rsidP="000E62E7">
      <w:pPr>
        <w:ind w:firstLine="720"/>
        <w:rPr>
          <w:rFonts w:ascii="Avenir Book" w:hAnsi="Avenir Book"/>
          <w:sz w:val="24"/>
          <w:szCs w:val="24"/>
        </w:rPr>
      </w:pPr>
      <w:r w:rsidRPr="00DD2CF4">
        <w:rPr>
          <w:rFonts w:ascii="Avenir Book" w:hAnsi="Avenir Book"/>
          <w:sz w:val="24"/>
          <w:szCs w:val="24"/>
        </w:rPr>
        <w:t>The book’s treatment of “correctness” in interpretation according to Gadamer is very well done.</w:t>
      </w:r>
      <w:r w:rsidR="0074762D">
        <w:rPr>
          <w:rFonts w:ascii="Avenir Book" w:hAnsi="Avenir Book"/>
          <w:sz w:val="24"/>
          <w:szCs w:val="24"/>
        </w:rPr>
        <w:t xml:space="preserve"> </w:t>
      </w:r>
      <w:r w:rsidRPr="00DD2CF4">
        <w:rPr>
          <w:rFonts w:ascii="Avenir Book" w:hAnsi="Avenir Book"/>
          <w:sz w:val="24"/>
          <w:szCs w:val="24"/>
        </w:rPr>
        <w:t>There are norms governing interpretation, not rules ensuring correspondence. There is a very nice account of the concepts of fusion and horizon.  The relevant fusion is of the horizon and not the standpoint. Arguably Gadamer is a “perspectivist,” but shifting from perspective to aspect, as the authors do, I find important. The book does well in emphasizing the importance of the “common world” for Gadamer’s hermeneutics. And there is more, but I should turn to my questions.</w:t>
      </w:r>
    </w:p>
    <w:p w14:paraId="2545E7B7" w14:textId="15D9F726" w:rsidR="000E62E7" w:rsidRPr="00DD2CF4" w:rsidRDefault="000E62E7" w:rsidP="0074762D">
      <w:pPr>
        <w:ind w:firstLine="720"/>
        <w:rPr>
          <w:rFonts w:ascii="Avenir Book" w:hAnsi="Avenir Book"/>
          <w:sz w:val="24"/>
          <w:szCs w:val="24"/>
        </w:rPr>
      </w:pPr>
      <w:r w:rsidRPr="00DD2CF4">
        <w:rPr>
          <w:rFonts w:ascii="Avenir Book" w:hAnsi="Avenir Book"/>
          <w:sz w:val="24"/>
          <w:szCs w:val="24"/>
        </w:rPr>
        <w:t xml:space="preserve">But, first, a comment on my comments. I find myself for the most part agreeing with their reading, their interpretation of Gadamer’s hermeneutics. The book is persuasive about the cogency of Gadamer’s position. I find myself, however, sometimes disagreeing with them about Gadamer and sometimes agreeing with them about Gadamer but disagreeing with Gadamer. And sometimes I am not sure if my disagreement is with </w:t>
      </w:r>
      <w:proofErr w:type="spellStart"/>
      <w:r w:rsidRPr="00DD2CF4">
        <w:rPr>
          <w:rFonts w:ascii="Avenir Book" w:hAnsi="Avenir Book"/>
          <w:sz w:val="24"/>
          <w:szCs w:val="24"/>
        </w:rPr>
        <w:t>DaVia</w:t>
      </w:r>
      <w:proofErr w:type="spellEnd"/>
      <w:r w:rsidRPr="00DD2CF4">
        <w:rPr>
          <w:rFonts w:ascii="Avenir Book" w:hAnsi="Avenir Book"/>
          <w:sz w:val="24"/>
          <w:szCs w:val="24"/>
        </w:rPr>
        <w:t xml:space="preserve"> and Lynch or with Gadamer.</w:t>
      </w:r>
    </w:p>
    <w:p w14:paraId="116DFDDD" w14:textId="21F0EB37" w:rsidR="00F7403C" w:rsidRPr="00575A0E" w:rsidRDefault="00F7403C" w:rsidP="003A47B8">
      <w:pPr>
        <w:pStyle w:val="Heading2"/>
        <w:spacing w:after="200"/>
        <w:jc w:val="both"/>
        <w:rPr>
          <w:rFonts w:ascii="Avenir Book" w:hAnsi="Avenir Book"/>
          <w:color w:val="000000" w:themeColor="text1"/>
        </w:rPr>
      </w:pPr>
      <w:r>
        <w:rPr>
          <w:rFonts w:ascii="Avenir Book" w:hAnsi="Avenir Book"/>
          <w:color w:val="000000" w:themeColor="text1"/>
        </w:rPr>
        <w:t>Question One: Occasionality and Ideality</w:t>
      </w:r>
    </w:p>
    <w:p w14:paraId="2B274CFD" w14:textId="1DDDA5CC" w:rsidR="000E62E7" w:rsidRPr="00DD2CF4" w:rsidRDefault="000E62E7" w:rsidP="000E62E7">
      <w:pPr>
        <w:ind w:firstLine="720"/>
        <w:rPr>
          <w:rFonts w:ascii="Avenir Book" w:hAnsi="Avenir Book"/>
          <w:sz w:val="24"/>
          <w:szCs w:val="24"/>
        </w:rPr>
      </w:pPr>
      <w:r w:rsidRPr="00DD2CF4">
        <w:rPr>
          <w:rFonts w:ascii="Avenir Book" w:hAnsi="Avenir Book"/>
          <w:sz w:val="24"/>
          <w:szCs w:val="24"/>
        </w:rPr>
        <w:t xml:space="preserve">My first question concerns how we might square Gadamer’s insistence on occasionality and ideality. The authors are right about the importance of both these notions for Gadamer. And the book presents these notions well. Ideality, the authors write “is a matter of </w:t>
      </w:r>
      <w:proofErr w:type="spellStart"/>
      <w:r w:rsidRPr="00DD2CF4">
        <w:rPr>
          <w:rFonts w:ascii="Avenir Book" w:hAnsi="Avenir Book"/>
          <w:sz w:val="24"/>
          <w:szCs w:val="24"/>
        </w:rPr>
        <w:t>spatio</w:t>
      </w:r>
      <w:proofErr w:type="spellEnd"/>
      <w:r w:rsidRPr="00DD2CF4">
        <w:rPr>
          <w:rFonts w:ascii="Avenir Book" w:hAnsi="Avenir Book"/>
          <w:sz w:val="24"/>
          <w:szCs w:val="24"/>
        </w:rPr>
        <w:t>-temporal independence</w:t>
      </w:r>
      <w:r w:rsidR="0025325C">
        <w:rPr>
          <w:rFonts w:ascii="Avenir Book" w:hAnsi="Avenir Book"/>
          <w:sz w:val="24"/>
          <w:szCs w:val="24"/>
        </w:rPr>
        <w:t xml:space="preserve"> . . . </w:t>
      </w:r>
      <w:r w:rsidRPr="00DD2CF4">
        <w:rPr>
          <w:rFonts w:ascii="Avenir Book" w:hAnsi="Avenir Book"/>
          <w:sz w:val="24"/>
          <w:szCs w:val="24"/>
        </w:rPr>
        <w:t xml:space="preserve"> It is not bound to any </w:t>
      </w:r>
      <w:proofErr w:type="gramStart"/>
      <w:r w:rsidRPr="00DD2CF4">
        <w:rPr>
          <w:rFonts w:ascii="Avenir Book" w:hAnsi="Avenir Book"/>
          <w:sz w:val="24"/>
          <w:szCs w:val="24"/>
        </w:rPr>
        <w:t>particular occasion</w:t>
      </w:r>
      <w:proofErr w:type="gramEnd"/>
      <w:r w:rsidRPr="00DD2CF4">
        <w:rPr>
          <w:rFonts w:ascii="Avenir Book" w:hAnsi="Avenir Book"/>
          <w:sz w:val="24"/>
          <w:szCs w:val="24"/>
        </w:rPr>
        <w:t>.”</w:t>
      </w:r>
      <w:r w:rsidRPr="00DD2CF4">
        <w:rPr>
          <w:rStyle w:val="FootnoteReference"/>
          <w:rFonts w:ascii="Avenir Book" w:hAnsi="Avenir Book"/>
          <w:sz w:val="24"/>
          <w:szCs w:val="24"/>
        </w:rPr>
        <w:footnoteReference w:id="1"/>
      </w:r>
      <w:r w:rsidRPr="00DD2CF4">
        <w:rPr>
          <w:rFonts w:ascii="Avenir Book" w:hAnsi="Avenir Book"/>
          <w:sz w:val="24"/>
          <w:szCs w:val="24"/>
        </w:rPr>
        <w:t xml:space="preserve"> How is this very independence somehow not an independence from historicity? The authors point out correctly that there are two kinds of temporal independence: 1) the eternal (numbers—ok, anything else?) and 2) contemporaneity. The book provides a nice example of contemporaneity in the performing arts.  </w:t>
      </w:r>
    </w:p>
    <w:p w14:paraId="1DC15616" w14:textId="3294E16A" w:rsidR="000E62E7" w:rsidRPr="00DD2CF4" w:rsidRDefault="000E62E7" w:rsidP="000E62E7">
      <w:pPr>
        <w:ind w:firstLine="720"/>
        <w:rPr>
          <w:rFonts w:ascii="Avenir Book" w:hAnsi="Avenir Book"/>
          <w:sz w:val="24"/>
          <w:szCs w:val="24"/>
        </w:rPr>
      </w:pPr>
      <w:r w:rsidRPr="00DD2CF4">
        <w:rPr>
          <w:rFonts w:ascii="Avenir Book" w:hAnsi="Avenir Book"/>
          <w:sz w:val="24"/>
          <w:szCs w:val="24"/>
        </w:rPr>
        <w:t xml:space="preserve">The authors write that in each case it is one and same meaning that is understood. Is there a distinction operating here between the speech and the </w:t>
      </w:r>
      <w:r w:rsidRPr="00DD2CF4">
        <w:rPr>
          <w:rFonts w:ascii="Avenir Book" w:hAnsi="Avenir Book"/>
          <w:sz w:val="24"/>
          <w:szCs w:val="24"/>
        </w:rPr>
        <w:lastRenderedPageBreak/>
        <w:t>meaning? I shouldn’t think so. But every speech is occasional. The meaning as independent temporally would seem to be independent of the occasion.</w:t>
      </w:r>
    </w:p>
    <w:p w14:paraId="1D104B1B" w14:textId="01A448DA" w:rsidR="000E62E7" w:rsidRPr="00DD2CF4" w:rsidRDefault="000E62E7" w:rsidP="000E62E7">
      <w:pPr>
        <w:ind w:firstLine="720"/>
        <w:rPr>
          <w:rFonts w:ascii="Avenir Book" w:hAnsi="Avenir Book"/>
          <w:sz w:val="24"/>
          <w:szCs w:val="24"/>
        </w:rPr>
      </w:pPr>
      <w:r w:rsidRPr="00DD2CF4">
        <w:rPr>
          <w:rFonts w:ascii="Avenir Book" w:hAnsi="Avenir Book"/>
          <w:sz w:val="24"/>
          <w:szCs w:val="24"/>
        </w:rPr>
        <w:t xml:space="preserve">Another related question arose for me. In the </w:t>
      </w:r>
      <w:r w:rsidR="00753894">
        <w:rPr>
          <w:rFonts w:ascii="Avenir Book" w:hAnsi="Avenir Book"/>
          <w:sz w:val="24"/>
          <w:szCs w:val="24"/>
        </w:rPr>
        <w:t>third</w:t>
      </w:r>
      <w:r w:rsidR="00753894" w:rsidRPr="00DD2CF4">
        <w:rPr>
          <w:rFonts w:ascii="Avenir Book" w:hAnsi="Avenir Book"/>
          <w:sz w:val="24"/>
          <w:szCs w:val="24"/>
        </w:rPr>
        <w:t xml:space="preserve"> </w:t>
      </w:r>
      <w:r w:rsidRPr="00DD2CF4">
        <w:rPr>
          <w:rFonts w:ascii="Avenir Book" w:hAnsi="Avenir Book"/>
          <w:sz w:val="24"/>
          <w:szCs w:val="24"/>
        </w:rPr>
        <w:t xml:space="preserve">chapter on interpreting correctly, the authors refer to Gadamer’s claim that understanding is to understand the </w:t>
      </w:r>
      <w:r w:rsidRPr="00DD2CF4">
        <w:rPr>
          <w:rFonts w:ascii="Avenir Book" w:hAnsi="Avenir Book"/>
          <w:i/>
          <w:iCs/>
          <w:sz w:val="24"/>
          <w:szCs w:val="24"/>
        </w:rPr>
        <w:t>Sache</w:t>
      </w:r>
      <w:r w:rsidRPr="00DD2CF4">
        <w:rPr>
          <w:rFonts w:ascii="Avenir Book" w:hAnsi="Avenir Book"/>
          <w:sz w:val="24"/>
          <w:szCs w:val="24"/>
        </w:rPr>
        <w:t xml:space="preserve">, not another’s meaning. I may be quibbling a bit here, but if we can distinguish between the </w:t>
      </w:r>
      <w:r w:rsidRPr="00753894">
        <w:rPr>
          <w:rFonts w:ascii="Avenir Book" w:hAnsi="Avenir Book"/>
          <w:i/>
          <w:iCs/>
          <w:sz w:val="24"/>
          <w:szCs w:val="24"/>
        </w:rPr>
        <w:t>Sache</w:t>
      </w:r>
      <w:r w:rsidRPr="00DD2CF4">
        <w:rPr>
          <w:rFonts w:ascii="Avenir Book" w:hAnsi="Avenir Book"/>
          <w:sz w:val="24"/>
          <w:szCs w:val="24"/>
        </w:rPr>
        <w:t xml:space="preserve"> and the other’s meaning, is there an important distinction between </w:t>
      </w:r>
      <w:r w:rsidRPr="00DD2CF4">
        <w:rPr>
          <w:rFonts w:ascii="Avenir Book" w:hAnsi="Avenir Book"/>
          <w:i/>
          <w:iCs/>
          <w:sz w:val="24"/>
          <w:szCs w:val="24"/>
        </w:rPr>
        <w:t>Sache</w:t>
      </w:r>
      <w:r w:rsidRPr="00DD2CF4">
        <w:rPr>
          <w:rFonts w:ascii="Avenir Book" w:hAnsi="Avenir Book"/>
          <w:sz w:val="24"/>
          <w:szCs w:val="24"/>
        </w:rPr>
        <w:t xml:space="preserve"> and meaning?</w:t>
      </w:r>
    </w:p>
    <w:p w14:paraId="78EB59A2" w14:textId="4F4AAD63" w:rsidR="00F7403C" w:rsidRPr="00575A0E" w:rsidRDefault="00F7403C" w:rsidP="003A47B8">
      <w:pPr>
        <w:pStyle w:val="Heading2"/>
        <w:spacing w:after="200"/>
        <w:rPr>
          <w:rFonts w:ascii="Avenir Book" w:hAnsi="Avenir Book"/>
          <w:color w:val="000000" w:themeColor="text1"/>
        </w:rPr>
      </w:pPr>
      <w:r>
        <w:rPr>
          <w:rFonts w:ascii="Avenir Book" w:hAnsi="Avenir Book"/>
          <w:color w:val="000000" w:themeColor="text1"/>
        </w:rPr>
        <w:t>Question Two: Doxastic and Substantive Interpretations</w:t>
      </w:r>
    </w:p>
    <w:p w14:paraId="39AD33D9" w14:textId="2B9CDB67" w:rsidR="000E62E7" w:rsidRPr="00DD2CF4" w:rsidRDefault="000E62E7" w:rsidP="00753894">
      <w:pPr>
        <w:ind w:firstLine="720"/>
        <w:rPr>
          <w:rFonts w:ascii="Avenir Book" w:hAnsi="Avenir Book"/>
          <w:sz w:val="24"/>
          <w:szCs w:val="24"/>
        </w:rPr>
      </w:pPr>
      <w:r w:rsidRPr="00DD2CF4">
        <w:rPr>
          <w:rFonts w:ascii="Avenir Book" w:hAnsi="Avenir Book"/>
          <w:sz w:val="24"/>
          <w:szCs w:val="24"/>
        </w:rPr>
        <w:t xml:space="preserve">I accept the distinction of doxastic and substantive interpretations as presented here. But I have a couple questions in this regard. My questions concern the difference and relation of philosophical hermeneutics and philology (philological hermeneutics).   </w:t>
      </w:r>
    </w:p>
    <w:p w14:paraId="44AAE2D3" w14:textId="33F189D4" w:rsidR="000E62E7" w:rsidRPr="00DD2CF4" w:rsidRDefault="000E62E7" w:rsidP="000E62E7">
      <w:pPr>
        <w:ind w:firstLine="720"/>
        <w:rPr>
          <w:rFonts w:ascii="Avenir Book" w:hAnsi="Avenir Book"/>
          <w:sz w:val="24"/>
          <w:szCs w:val="24"/>
        </w:rPr>
      </w:pPr>
      <w:r w:rsidRPr="00DD2CF4">
        <w:rPr>
          <w:rFonts w:ascii="Avenir Book" w:hAnsi="Avenir Book"/>
          <w:sz w:val="24"/>
          <w:szCs w:val="24"/>
        </w:rPr>
        <w:t>I take it that the philologist deals in doxastic interpretations. Of the doxastic</w:t>
      </w:r>
      <w:r w:rsidR="00753894">
        <w:rPr>
          <w:rFonts w:ascii="Avenir Book" w:hAnsi="Avenir Book"/>
          <w:sz w:val="24"/>
          <w:szCs w:val="24"/>
        </w:rPr>
        <w:t>,</w:t>
      </w:r>
      <w:r w:rsidRPr="00DD2CF4">
        <w:rPr>
          <w:rFonts w:ascii="Avenir Book" w:hAnsi="Avenir Book"/>
          <w:sz w:val="24"/>
          <w:szCs w:val="24"/>
        </w:rPr>
        <w:t xml:space="preserve"> you say several things. Some for me make excellent sense; others seem questionable.  </w:t>
      </w:r>
    </w:p>
    <w:p w14:paraId="6ACC8E11" w14:textId="015E4A4D" w:rsidR="000E62E7" w:rsidRPr="00DD2CF4" w:rsidRDefault="00753894" w:rsidP="000E62E7">
      <w:pPr>
        <w:ind w:firstLine="720"/>
        <w:rPr>
          <w:rFonts w:ascii="Avenir Book" w:hAnsi="Avenir Book"/>
          <w:sz w:val="24"/>
          <w:szCs w:val="24"/>
        </w:rPr>
      </w:pPr>
      <w:r>
        <w:rPr>
          <w:rFonts w:ascii="Avenir Book" w:hAnsi="Avenir Book"/>
          <w:sz w:val="24"/>
          <w:szCs w:val="24"/>
        </w:rPr>
        <w:t>I</w:t>
      </w:r>
      <w:r w:rsidR="000E62E7" w:rsidRPr="00DD2CF4">
        <w:rPr>
          <w:rFonts w:ascii="Avenir Book" w:hAnsi="Avenir Book"/>
          <w:sz w:val="24"/>
          <w:szCs w:val="24"/>
        </w:rPr>
        <w:t>n reference to Gadamer’s proceeding like a philologist</w:t>
      </w:r>
      <w:r>
        <w:rPr>
          <w:rFonts w:ascii="Avenir Book" w:hAnsi="Avenir Book"/>
          <w:sz w:val="24"/>
          <w:szCs w:val="24"/>
        </w:rPr>
        <w:t xml:space="preserve"> (on p. 119)</w:t>
      </w:r>
      <w:r w:rsidR="000E62E7" w:rsidRPr="00DD2CF4">
        <w:rPr>
          <w:rFonts w:ascii="Avenir Book" w:hAnsi="Avenir Book"/>
          <w:sz w:val="24"/>
          <w:szCs w:val="24"/>
        </w:rPr>
        <w:t>, you write</w:t>
      </w:r>
      <w:proofErr w:type="gramStart"/>
      <w:r w:rsidR="000E62E7" w:rsidRPr="00DD2CF4">
        <w:rPr>
          <w:rFonts w:ascii="Avenir Book" w:hAnsi="Avenir Book"/>
          <w:sz w:val="24"/>
          <w:szCs w:val="24"/>
        </w:rPr>
        <w:t>:  “</w:t>
      </w:r>
      <w:proofErr w:type="gramEnd"/>
      <w:r w:rsidR="000E62E7" w:rsidRPr="00DD2CF4">
        <w:rPr>
          <w:rFonts w:ascii="Avenir Book" w:hAnsi="Avenir Book"/>
          <w:sz w:val="24"/>
          <w:szCs w:val="24"/>
        </w:rPr>
        <w:t xml:space="preserve">The fact that someone falls short of their own ideals does not entail that these ideals are false, and Gadamer would certainly not be the first philosopher who failed to practice what he preached.” Why call this a failure? Gadamer did not consider it a failure. On occasion he proudly presents himself as a certified philologist. On that same page you write that philology is a preparation for interpretation. It is “needed,” you write. If he is doing what’s needed, how is this a failure?  </w:t>
      </w:r>
    </w:p>
    <w:p w14:paraId="44732513" w14:textId="258109FE" w:rsidR="000E62E7" w:rsidRPr="00DD2CF4" w:rsidRDefault="000E62E7" w:rsidP="000E62E7">
      <w:pPr>
        <w:ind w:firstLine="720"/>
        <w:rPr>
          <w:rFonts w:ascii="Avenir Book" w:hAnsi="Avenir Book"/>
          <w:sz w:val="24"/>
          <w:szCs w:val="24"/>
        </w:rPr>
      </w:pPr>
      <w:r w:rsidRPr="00DD2CF4">
        <w:rPr>
          <w:rFonts w:ascii="Avenir Book" w:hAnsi="Avenir Book"/>
          <w:sz w:val="24"/>
          <w:szCs w:val="24"/>
        </w:rPr>
        <w:t xml:space="preserve">Previously you </w:t>
      </w:r>
      <w:proofErr w:type="gramStart"/>
      <w:r w:rsidRPr="00DD2CF4">
        <w:rPr>
          <w:rFonts w:ascii="Avenir Book" w:hAnsi="Avenir Book"/>
          <w:sz w:val="24"/>
          <w:szCs w:val="24"/>
        </w:rPr>
        <w:t>claim</w:t>
      </w:r>
      <w:proofErr w:type="gramEnd"/>
      <w:r w:rsidRPr="00DD2CF4">
        <w:rPr>
          <w:rFonts w:ascii="Avenir Book" w:hAnsi="Avenir Book"/>
          <w:sz w:val="24"/>
          <w:szCs w:val="24"/>
        </w:rPr>
        <w:t xml:space="preserve"> that doxastic interpretation is possible only </w:t>
      </w:r>
      <w:proofErr w:type="gramStart"/>
      <w:r w:rsidRPr="00DD2CF4">
        <w:rPr>
          <w:rFonts w:ascii="Avenir Book" w:hAnsi="Avenir Book"/>
          <w:sz w:val="24"/>
          <w:szCs w:val="24"/>
        </w:rPr>
        <w:t>on the basis of</w:t>
      </w:r>
      <w:proofErr w:type="gramEnd"/>
      <w:r w:rsidRPr="00DD2CF4">
        <w:rPr>
          <w:rFonts w:ascii="Avenir Book" w:hAnsi="Avenir Book"/>
          <w:sz w:val="24"/>
          <w:szCs w:val="24"/>
        </w:rPr>
        <w:t xml:space="preserve"> a more fundamental substantive interpretation.</w:t>
      </w:r>
      <w:r w:rsidRPr="00DD2CF4">
        <w:rPr>
          <w:rStyle w:val="FootnoteReference"/>
          <w:rFonts w:ascii="Avenir Book" w:hAnsi="Avenir Book"/>
          <w:sz w:val="24"/>
          <w:szCs w:val="24"/>
        </w:rPr>
        <w:footnoteReference w:id="2"/>
      </w:r>
      <w:r w:rsidRPr="00DD2CF4">
        <w:rPr>
          <w:rFonts w:ascii="Avenir Book" w:hAnsi="Avenir Book"/>
          <w:sz w:val="24"/>
          <w:szCs w:val="24"/>
        </w:rPr>
        <w:t xml:space="preserve"> Yet how is it that the substantive requires (needs) a doxastic interpretation? There is a circle here. Is it virtuous or vicious?</w:t>
      </w:r>
    </w:p>
    <w:p w14:paraId="4B40A84A" w14:textId="77777777" w:rsidR="005E3BFB" w:rsidRDefault="000E62E7" w:rsidP="005E3BFB">
      <w:pPr>
        <w:ind w:firstLine="720"/>
        <w:rPr>
          <w:rFonts w:ascii="Avenir Book" w:hAnsi="Avenir Book"/>
          <w:sz w:val="24"/>
          <w:szCs w:val="24"/>
        </w:rPr>
      </w:pPr>
      <w:r w:rsidRPr="00DD2CF4">
        <w:rPr>
          <w:rFonts w:ascii="Avenir Book" w:hAnsi="Avenir Book"/>
          <w:sz w:val="24"/>
          <w:szCs w:val="24"/>
        </w:rPr>
        <w:t xml:space="preserve">You claim that philology does not engage in interpretation itself. I find this a bit too much. Your own language belies this. You write about doxastic interpretation.  </w:t>
      </w:r>
    </w:p>
    <w:p w14:paraId="21E4EBF8" w14:textId="76844464" w:rsidR="000E62E7" w:rsidRDefault="000E62E7" w:rsidP="005E3BFB">
      <w:pPr>
        <w:ind w:firstLine="720"/>
        <w:rPr>
          <w:rFonts w:ascii="Avenir Book" w:hAnsi="Avenir Book"/>
          <w:sz w:val="24"/>
          <w:szCs w:val="24"/>
        </w:rPr>
      </w:pPr>
      <w:r w:rsidRPr="00DD2CF4">
        <w:rPr>
          <w:rFonts w:ascii="Avenir Book" w:hAnsi="Avenir Book"/>
          <w:sz w:val="24"/>
          <w:szCs w:val="24"/>
        </w:rPr>
        <w:lastRenderedPageBreak/>
        <w:t xml:space="preserve">Similarly, the book makes the strong claim that a doxastic interpretation (if I may use the word “interpretation” here) does not yield understanding of the </w:t>
      </w:r>
      <w:r w:rsidRPr="00DD2CF4">
        <w:rPr>
          <w:rFonts w:ascii="Avenir Book" w:hAnsi="Avenir Book"/>
          <w:i/>
          <w:iCs/>
          <w:sz w:val="24"/>
          <w:szCs w:val="24"/>
        </w:rPr>
        <w:t>text</w:t>
      </w:r>
      <w:r w:rsidRPr="00DD2CF4">
        <w:rPr>
          <w:rFonts w:ascii="Avenir Book" w:hAnsi="Avenir Book"/>
          <w:sz w:val="24"/>
          <w:szCs w:val="24"/>
        </w:rPr>
        <w:t xml:space="preserve"> in question</w:t>
      </w:r>
      <w:proofErr w:type="gramStart"/>
      <w:r w:rsidRPr="00DD2CF4">
        <w:rPr>
          <w:rFonts w:ascii="Avenir Book" w:hAnsi="Avenir Book"/>
          <w:sz w:val="24"/>
          <w:szCs w:val="24"/>
        </w:rPr>
        <w:t>—“</w:t>
      </w:r>
      <w:proofErr w:type="gramEnd"/>
      <w:r w:rsidRPr="00DD2CF4">
        <w:rPr>
          <w:rFonts w:ascii="Avenir Book" w:hAnsi="Avenir Book"/>
          <w:sz w:val="24"/>
          <w:szCs w:val="24"/>
        </w:rPr>
        <w:t>text” in italics.</w:t>
      </w:r>
      <w:r w:rsidRPr="00DD2CF4">
        <w:rPr>
          <w:rStyle w:val="FootnoteReference"/>
          <w:rFonts w:ascii="Avenir Book" w:hAnsi="Avenir Book"/>
          <w:sz w:val="24"/>
          <w:szCs w:val="24"/>
        </w:rPr>
        <w:footnoteReference w:id="3"/>
      </w:r>
      <w:r w:rsidRPr="00DD2CF4">
        <w:rPr>
          <w:rFonts w:ascii="Avenir Book" w:hAnsi="Avenir Book"/>
          <w:sz w:val="24"/>
          <w:szCs w:val="24"/>
        </w:rPr>
        <w:t xml:space="preserve"> Yet you seem to suggest (perhaps I am wrong here) that it yields understanding of some sort. In making this claim that doxastic interpretation does not yield an understanding of the text, you cite a few pages of </w:t>
      </w:r>
      <w:r w:rsidRPr="00DD2CF4">
        <w:rPr>
          <w:rFonts w:ascii="Avenir Book" w:hAnsi="Avenir Book"/>
          <w:i/>
          <w:iCs/>
          <w:sz w:val="24"/>
          <w:szCs w:val="24"/>
        </w:rPr>
        <w:t>Truth and Method</w:t>
      </w:r>
      <w:r w:rsidRPr="00DD2CF4">
        <w:rPr>
          <w:rFonts w:ascii="Avenir Book" w:hAnsi="Avenir Book"/>
          <w:sz w:val="24"/>
          <w:szCs w:val="24"/>
        </w:rPr>
        <w:t>.</w:t>
      </w:r>
      <w:r w:rsidRPr="00DD2CF4">
        <w:rPr>
          <w:rStyle w:val="FootnoteReference"/>
          <w:rFonts w:ascii="Avenir Book" w:hAnsi="Avenir Book"/>
          <w:sz w:val="24"/>
          <w:szCs w:val="24"/>
        </w:rPr>
        <w:footnoteReference w:id="4"/>
      </w:r>
      <w:r w:rsidRPr="00DD2CF4">
        <w:rPr>
          <w:rFonts w:ascii="Avenir Book" w:hAnsi="Avenir Book"/>
          <w:sz w:val="24"/>
          <w:szCs w:val="24"/>
        </w:rPr>
        <w:t xml:space="preserve"> I do not find Gadamer making this claim there, but perhaps I am missing something.</w:t>
      </w:r>
    </w:p>
    <w:p w14:paraId="1A6553D8" w14:textId="5AF2BC11" w:rsidR="00F7403C" w:rsidRPr="00575A0E" w:rsidRDefault="00F7403C" w:rsidP="003A47B8">
      <w:pPr>
        <w:pStyle w:val="Heading2"/>
        <w:spacing w:after="200"/>
        <w:rPr>
          <w:rFonts w:ascii="Avenir Book" w:hAnsi="Avenir Book"/>
          <w:color w:val="000000" w:themeColor="text1"/>
        </w:rPr>
      </w:pPr>
      <w:r>
        <w:rPr>
          <w:rFonts w:ascii="Avenir Book" w:hAnsi="Avenir Book"/>
          <w:color w:val="000000" w:themeColor="text1"/>
        </w:rPr>
        <w:t>Question Three: The Meaning of Meaning</w:t>
      </w:r>
    </w:p>
    <w:p w14:paraId="5BB30060" w14:textId="570CAF59" w:rsidR="000E62E7" w:rsidRPr="00DD2CF4" w:rsidRDefault="000E62E7" w:rsidP="000E62E7">
      <w:pPr>
        <w:ind w:firstLine="720"/>
        <w:rPr>
          <w:rFonts w:ascii="Avenir Book" w:hAnsi="Avenir Book"/>
          <w:sz w:val="24"/>
          <w:szCs w:val="24"/>
        </w:rPr>
      </w:pPr>
      <w:r w:rsidRPr="00DD2CF4">
        <w:rPr>
          <w:rFonts w:ascii="Avenir Book" w:hAnsi="Avenir Book"/>
          <w:sz w:val="24"/>
          <w:szCs w:val="24"/>
        </w:rPr>
        <w:t>Here I raise the most important question—a question I am finding difficult to articulate. What for you and for Gadamer is the meaning of meaning? Let me begin to articulate this question with a typical citation from Gadamer: “what has been said in words is always less than what has been meant or was intended.”</w:t>
      </w:r>
      <w:r w:rsidRPr="00DD2CF4">
        <w:rPr>
          <w:rStyle w:val="FootnoteReference"/>
          <w:rFonts w:ascii="Avenir Book" w:hAnsi="Avenir Book"/>
          <w:sz w:val="24"/>
          <w:szCs w:val="24"/>
        </w:rPr>
        <w:footnoteReference w:id="5"/>
      </w:r>
    </w:p>
    <w:p w14:paraId="7D2244CE" w14:textId="7421E848" w:rsidR="000E62E7" w:rsidRPr="00DD2CF4" w:rsidRDefault="000E62E7" w:rsidP="000E62E7">
      <w:pPr>
        <w:ind w:firstLine="720"/>
        <w:rPr>
          <w:rFonts w:ascii="Avenir Book" w:hAnsi="Avenir Book"/>
          <w:sz w:val="24"/>
          <w:szCs w:val="24"/>
        </w:rPr>
      </w:pPr>
      <w:r w:rsidRPr="00DD2CF4">
        <w:rPr>
          <w:rFonts w:ascii="Avenir Book" w:hAnsi="Avenir Book"/>
          <w:sz w:val="24"/>
          <w:szCs w:val="24"/>
        </w:rPr>
        <w:t>He says something like this fairly frequently. The words are not adequate to the “what.” I like to think of the “what” in the sentence as the “</w:t>
      </w:r>
      <w:r w:rsidRPr="00DD2CF4">
        <w:rPr>
          <w:rFonts w:ascii="Avenir Book" w:hAnsi="Avenir Book"/>
          <w:i/>
          <w:iCs/>
          <w:sz w:val="24"/>
          <w:szCs w:val="24"/>
        </w:rPr>
        <w:t>Sache</w:t>
      </w:r>
      <w:r w:rsidRPr="00DD2CF4">
        <w:rPr>
          <w:rFonts w:ascii="Avenir Book" w:hAnsi="Avenir Book"/>
          <w:sz w:val="24"/>
          <w:szCs w:val="24"/>
        </w:rPr>
        <w:t>”—whatever it is that the speech is about, that which is “intended.”</w:t>
      </w:r>
      <w:r w:rsidR="00753894">
        <w:rPr>
          <w:rFonts w:ascii="Avenir Book" w:hAnsi="Avenir Book"/>
          <w:sz w:val="24"/>
          <w:szCs w:val="24"/>
        </w:rPr>
        <w:t xml:space="preserve"> </w:t>
      </w:r>
      <w:proofErr w:type="spellStart"/>
      <w:r w:rsidRPr="00DD2CF4">
        <w:rPr>
          <w:rFonts w:ascii="Avenir Book" w:hAnsi="Avenir Book"/>
          <w:sz w:val="24"/>
          <w:szCs w:val="24"/>
        </w:rPr>
        <w:t>DaVia</w:t>
      </w:r>
      <w:proofErr w:type="spellEnd"/>
      <w:r w:rsidRPr="00DD2CF4">
        <w:rPr>
          <w:rFonts w:ascii="Avenir Book" w:hAnsi="Avenir Book"/>
          <w:sz w:val="24"/>
          <w:szCs w:val="24"/>
        </w:rPr>
        <w:t xml:space="preserve"> and Lynch and I agree that in some important sense, Gadamer is a realist. I’m not sure that we agree about what sort of realist Gadamer is.  </w:t>
      </w:r>
    </w:p>
    <w:p w14:paraId="26B67C30" w14:textId="48DFD4A5" w:rsidR="000E62E7" w:rsidRPr="00DD2CF4" w:rsidRDefault="000E62E7" w:rsidP="000E62E7">
      <w:pPr>
        <w:ind w:firstLine="720"/>
        <w:rPr>
          <w:rFonts w:ascii="Avenir Book" w:hAnsi="Avenir Book"/>
          <w:sz w:val="24"/>
          <w:szCs w:val="24"/>
        </w:rPr>
      </w:pPr>
      <w:r w:rsidRPr="00DD2CF4">
        <w:rPr>
          <w:rFonts w:ascii="Avenir Book" w:hAnsi="Avenir Book"/>
          <w:sz w:val="24"/>
          <w:szCs w:val="24"/>
        </w:rPr>
        <w:t xml:space="preserve">I see a possible distinction between the “what” and the “meaning.” There is no distinction in the sense that the “what” is an essence and an essence is a meaning. But there is a distinction in the sense that what there is </w:t>
      </w:r>
      <w:proofErr w:type="spellStart"/>
      <w:r w:rsidRPr="00DD2CF4">
        <w:rPr>
          <w:rFonts w:ascii="Avenir Book" w:hAnsi="Avenir Book"/>
          <w:sz w:val="24"/>
          <w:szCs w:val="24"/>
        </w:rPr>
        <w:t>is</w:t>
      </w:r>
      <w:proofErr w:type="spellEnd"/>
      <w:r w:rsidRPr="00DD2CF4">
        <w:rPr>
          <w:rFonts w:ascii="Avenir Book" w:hAnsi="Avenir Book"/>
          <w:sz w:val="24"/>
          <w:szCs w:val="24"/>
        </w:rPr>
        <w:t xml:space="preserve"> Being. Things have a meaning; they are meaningful. I do not believe that our authors accept this distinction between the “what” and the “meaning.” They make the simple and strong claim that being is meaning.</w:t>
      </w:r>
      <w:r w:rsidRPr="00DD2CF4">
        <w:rPr>
          <w:rStyle w:val="FootnoteReference"/>
          <w:rFonts w:ascii="Avenir Book" w:hAnsi="Avenir Book"/>
          <w:sz w:val="24"/>
          <w:szCs w:val="24"/>
        </w:rPr>
        <w:footnoteReference w:id="6"/>
      </w:r>
      <w:r w:rsidRPr="00DD2CF4">
        <w:rPr>
          <w:rFonts w:ascii="Avenir Book" w:hAnsi="Avenir Book"/>
          <w:sz w:val="24"/>
          <w:szCs w:val="24"/>
        </w:rPr>
        <w:t xml:space="preserve">  They say that only by accepting this claim can we reconcile Gadamer’s realism with his </w:t>
      </w:r>
      <w:proofErr w:type="spellStart"/>
      <w:r w:rsidRPr="00DD2CF4">
        <w:rPr>
          <w:rFonts w:ascii="Avenir Book" w:hAnsi="Avenir Book"/>
          <w:sz w:val="24"/>
          <w:szCs w:val="24"/>
        </w:rPr>
        <w:t>aspectivism</w:t>
      </w:r>
      <w:proofErr w:type="spellEnd"/>
      <w:r w:rsidRPr="00DD2CF4">
        <w:rPr>
          <w:rFonts w:ascii="Avenir Book" w:hAnsi="Avenir Book"/>
          <w:sz w:val="24"/>
          <w:szCs w:val="24"/>
        </w:rPr>
        <w:t xml:space="preserve"> (my word). I do not find myself persuaded. I would claim </w:t>
      </w:r>
      <w:r w:rsidRPr="00DD2CF4">
        <w:rPr>
          <w:rFonts w:ascii="Avenir Book" w:hAnsi="Avenir Book"/>
          <w:sz w:val="24"/>
          <w:szCs w:val="24"/>
        </w:rPr>
        <w:lastRenderedPageBreak/>
        <w:t xml:space="preserve">that Being is intelligible (finitely so, </w:t>
      </w:r>
      <w:proofErr w:type="spellStart"/>
      <w:r w:rsidRPr="00DD2CF4">
        <w:rPr>
          <w:rFonts w:ascii="Avenir Book" w:hAnsi="Avenir Book"/>
          <w:sz w:val="24"/>
          <w:szCs w:val="24"/>
        </w:rPr>
        <w:t>aspectivally</w:t>
      </w:r>
      <w:proofErr w:type="spellEnd"/>
      <w:r w:rsidRPr="00DD2CF4">
        <w:rPr>
          <w:rFonts w:ascii="Avenir Book" w:hAnsi="Avenir Book"/>
          <w:sz w:val="24"/>
          <w:szCs w:val="24"/>
        </w:rPr>
        <w:t xml:space="preserve"> so), but not that Being is intelligibility.  My claim is that Being is meaningful, but not that it is meaning </w:t>
      </w:r>
      <w:r w:rsidRPr="00DD2CF4">
        <w:rPr>
          <w:rFonts w:ascii="Avenir Book" w:hAnsi="Avenir Book"/>
          <w:i/>
          <w:iCs/>
          <w:sz w:val="24"/>
          <w:szCs w:val="24"/>
        </w:rPr>
        <w:t>simpliciter.</w:t>
      </w:r>
      <w:r w:rsidRPr="00DD2CF4">
        <w:rPr>
          <w:rFonts w:ascii="Avenir Book" w:hAnsi="Avenir Book"/>
          <w:sz w:val="24"/>
          <w:szCs w:val="24"/>
        </w:rPr>
        <w:t xml:space="preserve"> I think that Gadamer would like to follow Heidegger </w:t>
      </w:r>
      <w:proofErr w:type="gramStart"/>
      <w:r w:rsidRPr="00DD2CF4">
        <w:rPr>
          <w:rFonts w:ascii="Avenir Book" w:hAnsi="Avenir Book"/>
          <w:sz w:val="24"/>
          <w:szCs w:val="24"/>
        </w:rPr>
        <w:t>with regard to</w:t>
      </w:r>
      <w:proofErr w:type="gramEnd"/>
      <w:r w:rsidRPr="00DD2CF4">
        <w:rPr>
          <w:rFonts w:ascii="Avenir Book" w:hAnsi="Avenir Book"/>
          <w:sz w:val="24"/>
          <w:szCs w:val="24"/>
        </w:rPr>
        <w:t xml:space="preserve"> the realism/idealism question.  In </w:t>
      </w:r>
      <w:r w:rsidRPr="00753894">
        <w:rPr>
          <w:rFonts w:ascii="Avenir Book" w:hAnsi="Avenir Book"/>
          <w:i/>
          <w:iCs/>
          <w:sz w:val="24"/>
          <w:szCs w:val="24"/>
        </w:rPr>
        <w:t>Being and Time</w:t>
      </w:r>
      <w:r w:rsidRPr="00753894">
        <w:rPr>
          <w:rFonts w:ascii="Avenir Book" w:hAnsi="Avenir Book"/>
          <w:sz w:val="24"/>
          <w:szCs w:val="24"/>
        </w:rPr>
        <w:t xml:space="preserve"> </w:t>
      </w:r>
      <w:r w:rsidRPr="00DD2CF4">
        <w:rPr>
          <w:rFonts w:ascii="Avenir Book" w:hAnsi="Avenir Book"/>
          <w:sz w:val="24"/>
          <w:szCs w:val="24"/>
        </w:rPr>
        <w:t xml:space="preserve">Heidegger argues that reality is dependent on care—it is dependent on </w:t>
      </w:r>
      <w:r w:rsidRPr="00DD2CF4">
        <w:rPr>
          <w:rFonts w:ascii="Avenir Book" w:hAnsi="Avenir Book"/>
          <w:i/>
          <w:iCs/>
          <w:sz w:val="24"/>
          <w:szCs w:val="24"/>
        </w:rPr>
        <w:t>Dasein</w:t>
      </w:r>
      <w:r w:rsidRPr="00DD2CF4">
        <w:rPr>
          <w:rFonts w:ascii="Avenir Book" w:hAnsi="Avenir Book"/>
          <w:sz w:val="24"/>
          <w:szCs w:val="24"/>
        </w:rPr>
        <w:t>.</w:t>
      </w:r>
      <w:r w:rsidRPr="00DD2CF4">
        <w:rPr>
          <w:rStyle w:val="FootnoteReference"/>
          <w:rFonts w:ascii="Avenir Book" w:hAnsi="Avenir Book"/>
          <w:sz w:val="24"/>
          <w:szCs w:val="24"/>
        </w:rPr>
        <w:footnoteReference w:id="7"/>
      </w:r>
      <w:r w:rsidRPr="00DD2CF4">
        <w:rPr>
          <w:rFonts w:ascii="Avenir Book" w:hAnsi="Avenir Book"/>
          <w:sz w:val="24"/>
          <w:szCs w:val="24"/>
        </w:rPr>
        <w:t xml:space="preserve"> In this sense, Heidegger is an idealist. </w:t>
      </w:r>
      <w:proofErr w:type="gramStart"/>
      <w:r w:rsidRPr="00DD2CF4">
        <w:rPr>
          <w:rFonts w:ascii="Avenir Book" w:hAnsi="Avenir Book"/>
          <w:sz w:val="24"/>
          <w:szCs w:val="24"/>
        </w:rPr>
        <w:t>But,</w:t>
      </w:r>
      <w:proofErr w:type="gramEnd"/>
      <w:r w:rsidRPr="00DD2CF4">
        <w:rPr>
          <w:rFonts w:ascii="Avenir Book" w:hAnsi="Avenir Book"/>
          <w:sz w:val="24"/>
          <w:szCs w:val="24"/>
        </w:rPr>
        <w:t xml:space="preserve"> writes Heidegger, the real is not so dependent. In this sense, Heidegger is a realist. Were </w:t>
      </w:r>
      <w:r w:rsidRPr="00DD2CF4">
        <w:rPr>
          <w:rFonts w:ascii="Avenir Book" w:hAnsi="Avenir Book"/>
          <w:i/>
          <w:iCs/>
          <w:sz w:val="24"/>
          <w:szCs w:val="24"/>
        </w:rPr>
        <w:t>Dasein</w:t>
      </w:r>
      <w:r w:rsidRPr="00DD2CF4">
        <w:rPr>
          <w:rFonts w:ascii="Avenir Book" w:hAnsi="Avenir Book"/>
          <w:sz w:val="24"/>
          <w:szCs w:val="24"/>
        </w:rPr>
        <w:t xml:space="preserve"> to disappear, go extinct, the real would persist—continue to </w:t>
      </w:r>
      <w:r w:rsidRPr="00DD2CF4">
        <w:rPr>
          <w:rFonts w:ascii="Avenir Book" w:hAnsi="Avenir Book"/>
          <w:i/>
          <w:iCs/>
          <w:sz w:val="24"/>
          <w:szCs w:val="24"/>
        </w:rPr>
        <w:t>be</w:t>
      </w:r>
      <w:r w:rsidRPr="00DD2CF4">
        <w:rPr>
          <w:rFonts w:ascii="Avenir Book" w:hAnsi="Avenir Book"/>
          <w:sz w:val="24"/>
          <w:szCs w:val="24"/>
        </w:rPr>
        <w:t>. But ideas and meaning would not.</w:t>
      </w:r>
    </w:p>
    <w:p w14:paraId="41C6FFE6" w14:textId="77777777" w:rsidR="000E62E7" w:rsidRPr="00DD2CF4" w:rsidRDefault="000E62E7" w:rsidP="000E62E7">
      <w:pPr>
        <w:ind w:firstLine="720"/>
        <w:rPr>
          <w:rFonts w:ascii="Avenir Book" w:hAnsi="Avenir Book"/>
          <w:sz w:val="24"/>
          <w:szCs w:val="24"/>
        </w:rPr>
      </w:pPr>
      <w:r w:rsidRPr="00DD2CF4">
        <w:rPr>
          <w:rFonts w:ascii="Avenir Book" w:hAnsi="Avenir Book"/>
          <w:sz w:val="24"/>
          <w:szCs w:val="24"/>
        </w:rPr>
        <w:t>Further, as far as I can determine, the closest the later Heidegger ever gets to answering the question of Being is the chiasmus: “The meaning of Being is the Being of meaning.” This does not make Being intelligibility.</w:t>
      </w:r>
    </w:p>
    <w:p w14:paraId="0A53F8D1" w14:textId="630F5F38" w:rsidR="000E62E7" w:rsidRPr="00DD2CF4" w:rsidRDefault="000E62E7" w:rsidP="000E62E7">
      <w:pPr>
        <w:ind w:firstLine="720"/>
        <w:rPr>
          <w:rFonts w:ascii="Avenir Book" w:hAnsi="Avenir Book"/>
          <w:sz w:val="24"/>
          <w:szCs w:val="24"/>
        </w:rPr>
      </w:pPr>
      <w:r w:rsidRPr="00DD2CF4">
        <w:rPr>
          <w:rFonts w:ascii="Avenir Book" w:hAnsi="Avenir Book"/>
          <w:sz w:val="24"/>
          <w:szCs w:val="24"/>
        </w:rPr>
        <w:t xml:space="preserve">Relevant to the book’s claim that being is meaning is the treatment of essences.  The claim is made that essences are </w:t>
      </w:r>
      <w:proofErr w:type="spellStart"/>
      <w:r w:rsidRPr="00DD2CF4">
        <w:rPr>
          <w:rFonts w:ascii="Avenir Book" w:hAnsi="Avenir Book"/>
          <w:sz w:val="24"/>
          <w:szCs w:val="24"/>
        </w:rPr>
        <w:t>aspectival</w:t>
      </w:r>
      <w:proofErr w:type="spellEnd"/>
      <w:r w:rsidRPr="00DD2CF4">
        <w:rPr>
          <w:rFonts w:ascii="Avenir Book" w:hAnsi="Avenir Book"/>
          <w:sz w:val="24"/>
          <w:szCs w:val="24"/>
        </w:rPr>
        <w:t>. Does this claim make sense?  How so?  Yes, it does</w:t>
      </w:r>
      <w:r w:rsidR="00490E7C">
        <w:rPr>
          <w:rFonts w:ascii="Avenir Book" w:hAnsi="Avenir Book"/>
          <w:sz w:val="24"/>
          <w:szCs w:val="24"/>
        </w:rPr>
        <w:t>––</w:t>
      </w:r>
      <w:r w:rsidRPr="00DD2CF4">
        <w:rPr>
          <w:rFonts w:ascii="Avenir Book" w:hAnsi="Avenir Book"/>
          <w:sz w:val="24"/>
          <w:szCs w:val="24"/>
        </w:rPr>
        <w:t>in the sense that things present aspects of themselves. These aspects are intelligible. They are constitutive of the essence of the thing. But is the thing just its aspects? Yes, Gadamer writes that “the world is not different from the views in which it presents itself.” But this claim does not necessarily mean that world is merely a view.  The aspects are true of the thing, but there is a whole of which the aspect is not sufficient.</w:t>
      </w:r>
    </w:p>
    <w:p w14:paraId="527D30BB" w14:textId="79035A91" w:rsidR="000E62E7" w:rsidRPr="00DD2CF4" w:rsidRDefault="000E62E7" w:rsidP="005E3BFB">
      <w:pPr>
        <w:ind w:firstLine="720"/>
        <w:rPr>
          <w:rFonts w:ascii="Avenir Book" w:hAnsi="Avenir Book"/>
          <w:sz w:val="24"/>
          <w:szCs w:val="24"/>
        </w:rPr>
      </w:pPr>
      <w:r w:rsidRPr="00DD2CF4">
        <w:rPr>
          <w:rFonts w:ascii="Avenir Book" w:hAnsi="Avenir Book"/>
          <w:sz w:val="24"/>
          <w:szCs w:val="24"/>
        </w:rPr>
        <w:t xml:space="preserve">The consideration of this raises the question of the status of the concept of the “whole” for Gadamer. In the book’s criticism of </w:t>
      </w:r>
      <w:proofErr w:type="spellStart"/>
      <w:r w:rsidRPr="00DD2CF4">
        <w:rPr>
          <w:rFonts w:ascii="Avenir Book" w:hAnsi="Avenir Book"/>
          <w:sz w:val="24"/>
          <w:szCs w:val="24"/>
        </w:rPr>
        <w:t>Wachterhauser</w:t>
      </w:r>
      <w:proofErr w:type="spellEnd"/>
      <w:r w:rsidRPr="00DD2CF4">
        <w:rPr>
          <w:rFonts w:ascii="Avenir Book" w:hAnsi="Avenir Book"/>
          <w:sz w:val="24"/>
          <w:szCs w:val="24"/>
        </w:rPr>
        <w:t xml:space="preserve">, we find a compelling argument that </w:t>
      </w:r>
      <w:proofErr w:type="spellStart"/>
      <w:r w:rsidRPr="00DD2CF4">
        <w:rPr>
          <w:rFonts w:ascii="Avenir Book" w:hAnsi="Avenir Book"/>
          <w:sz w:val="24"/>
          <w:szCs w:val="24"/>
        </w:rPr>
        <w:t>Wachterhauer’s</w:t>
      </w:r>
      <w:proofErr w:type="spellEnd"/>
      <w:r w:rsidRPr="00DD2CF4">
        <w:rPr>
          <w:rFonts w:ascii="Avenir Book" w:hAnsi="Avenir Book"/>
          <w:sz w:val="24"/>
          <w:szCs w:val="24"/>
        </w:rPr>
        <w:t xml:space="preserve"> reading seems to presuppose a divine being, God, who has a grasp of the whole, unlike we finite humans. </w:t>
      </w:r>
      <w:proofErr w:type="spellStart"/>
      <w:r w:rsidRPr="00DD2CF4">
        <w:rPr>
          <w:rFonts w:ascii="Avenir Book" w:hAnsi="Avenir Book"/>
          <w:sz w:val="24"/>
          <w:szCs w:val="24"/>
        </w:rPr>
        <w:t>DaVia</w:t>
      </w:r>
      <w:proofErr w:type="spellEnd"/>
      <w:r w:rsidRPr="00DD2CF4">
        <w:rPr>
          <w:rFonts w:ascii="Avenir Book" w:hAnsi="Avenir Book"/>
          <w:sz w:val="24"/>
          <w:szCs w:val="24"/>
        </w:rPr>
        <w:t xml:space="preserve"> and Lynch seem to be arguing that doing without God as a presupposition disposes of any need for a whole. I see Gadamer’s talk about the world presupposes the wholeness of the world, </w:t>
      </w:r>
      <w:r w:rsidR="00490E7C">
        <w:rPr>
          <w:rFonts w:ascii="Avenir Book" w:hAnsi="Avenir Book"/>
          <w:sz w:val="24"/>
          <w:szCs w:val="24"/>
        </w:rPr>
        <w:t>whose</w:t>
      </w:r>
      <w:r w:rsidR="00490E7C" w:rsidRPr="00DD2CF4">
        <w:rPr>
          <w:rFonts w:ascii="Avenir Book" w:hAnsi="Avenir Book"/>
          <w:sz w:val="24"/>
          <w:szCs w:val="24"/>
        </w:rPr>
        <w:t xml:space="preserve"> </w:t>
      </w:r>
      <w:r w:rsidRPr="00DD2CF4">
        <w:rPr>
          <w:rFonts w:ascii="Avenir Book" w:hAnsi="Avenir Book"/>
          <w:sz w:val="24"/>
          <w:szCs w:val="24"/>
        </w:rPr>
        <w:t xml:space="preserve">wholeness is </w:t>
      </w:r>
      <w:proofErr w:type="gramStart"/>
      <w:r w:rsidRPr="00DD2CF4">
        <w:rPr>
          <w:rFonts w:ascii="Avenir Book" w:hAnsi="Avenir Book"/>
          <w:sz w:val="24"/>
          <w:szCs w:val="24"/>
        </w:rPr>
        <w:t>inexhaustible</w:t>
      </w:r>
      <w:proofErr w:type="gramEnd"/>
      <w:r w:rsidRPr="00DD2CF4">
        <w:rPr>
          <w:rFonts w:ascii="Avenir Book" w:hAnsi="Avenir Book"/>
          <w:sz w:val="24"/>
          <w:szCs w:val="24"/>
        </w:rPr>
        <w:t xml:space="preserve"> and which presents aspects of itself to us the viewers of the world and participants in the world. The very talk about our common world suggests that it is a whole. The authors write that the aspects do not add up to a whole.</w:t>
      </w:r>
      <w:r w:rsidRPr="00DD2CF4">
        <w:rPr>
          <w:rStyle w:val="FootnoteReference"/>
          <w:rFonts w:ascii="Avenir Book" w:hAnsi="Avenir Book"/>
          <w:sz w:val="24"/>
          <w:szCs w:val="24"/>
        </w:rPr>
        <w:footnoteReference w:id="8"/>
      </w:r>
      <w:r w:rsidRPr="00DD2CF4">
        <w:rPr>
          <w:rFonts w:ascii="Avenir Book" w:hAnsi="Avenir Book"/>
          <w:sz w:val="24"/>
          <w:szCs w:val="24"/>
        </w:rPr>
        <w:t xml:space="preserve"> In the</w:t>
      </w:r>
      <w:r w:rsidR="005E3BFB">
        <w:rPr>
          <w:rFonts w:ascii="Avenir Book" w:hAnsi="Avenir Book"/>
          <w:sz w:val="24"/>
          <w:szCs w:val="24"/>
        </w:rPr>
        <w:t xml:space="preserve"> </w:t>
      </w:r>
      <w:r w:rsidRPr="00DD2CF4">
        <w:rPr>
          <w:rFonts w:ascii="Avenir Book" w:hAnsi="Avenir Book"/>
          <w:sz w:val="24"/>
          <w:szCs w:val="24"/>
        </w:rPr>
        <w:lastRenderedPageBreak/>
        <w:t xml:space="preserve">sense that the whole is inexhaustible, this is so. But are the aspects </w:t>
      </w:r>
      <w:proofErr w:type="spellStart"/>
      <w:r w:rsidRPr="00DD2CF4">
        <w:rPr>
          <w:rFonts w:ascii="Avenir Book" w:hAnsi="Avenir Book"/>
          <w:sz w:val="24"/>
          <w:szCs w:val="24"/>
        </w:rPr>
        <w:t>aspects</w:t>
      </w:r>
      <w:proofErr w:type="spellEnd"/>
      <w:r w:rsidRPr="00DD2CF4">
        <w:rPr>
          <w:rFonts w:ascii="Avenir Book" w:hAnsi="Avenir Book"/>
          <w:sz w:val="24"/>
          <w:szCs w:val="24"/>
        </w:rPr>
        <w:t xml:space="preserve"> of a whole?  One could say that the aspects are of a whole while not adding up to a whole. In </w:t>
      </w:r>
      <w:r w:rsidRPr="00DD2CF4">
        <w:rPr>
          <w:rFonts w:ascii="Avenir Book" w:hAnsi="Avenir Book"/>
          <w:i/>
          <w:iCs/>
          <w:sz w:val="24"/>
          <w:szCs w:val="24"/>
        </w:rPr>
        <w:t>Truth and Method</w:t>
      </w:r>
      <w:r w:rsidRPr="00DD2CF4">
        <w:rPr>
          <w:rFonts w:ascii="Avenir Book" w:hAnsi="Avenir Book"/>
          <w:sz w:val="24"/>
          <w:szCs w:val="24"/>
        </w:rPr>
        <w:t xml:space="preserve"> Gadamer writes about the significance of the “whole of language” for his hermeneutics: “Every word causes the whole of the language to which it responds to resonate and the whole </w:t>
      </w:r>
      <w:proofErr w:type="gramStart"/>
      <w:r w:rsidRPr="00DD2CF4">
        <w:rPr>
          <w:rFonts w:ascii="Avenir Book" w:hAnsi="Avenir Book"/>
          <w:sz w:val="24"/>
          <w:szCs w:val="24"/>
        </w:rPr>
        <w:t>world-view</w:t>
      </w:r>
      <w:proofErr w:type="gramEnd"/>
      <w:r w:rsidRPr="00DD2CF4">
        <w:rPr>
          <w:rFonts w:ascii="Avenir Book" w:hAnsi="Avenir Book"/>
          <w:sz w:val="24"/>
          <w:szCs w:val="24"/>
        </w:rPr>
        <w:t xml:space="preserve"> that underlies it to appear.”</w:t>
      </w:r>
      <w:r w:rsidRPr="00DD2CF4">
        <w:rPr>
          <w:rStyle w:val="FootnoteReference"/>
          <w:rFonts w:ascii="Avenir Book" w:hAnsi="Avenir Book"/>
          <w:sz w:val="24"/>
          <w:szCs w:val="24"/>
        </w:rPr>
        <w:footnoteReference w:id="9"/>
      </w:r>
      <w:r w:rsidRPr="00DD2CF4">
        <w:rPr>
          <w:rFonts w:ascii="Avenir Book" w:hAnsi="Avenir Book"/>
          <w:sz w:val="24"/>
          <w:szCs w:val="24"/>
        </w:rPr>
        <w:t xml:space="preserve"> </w:t>
      </w:r>
    </w:p>
    <w:p w14:paraId="27C368BA" w14:textId="77777777" w:rsidR="000E62E7" w:rsidRPr="00DD2CF4" w:rsidRDefault="000E62E7" w:rsidP="000E62E7">
      <w:pPr>
        <w:ind w:firstLine="720"/>
        <w:rPr>
          <w:rFonts w:ascii="Avenir Book" w:hAnsi="Avenir Book"/>
          <w:sz w:val="24"/>
          <w:szCs w:val="24"/>
        </w:rPr>
      </w:pPr>
      <w:r w:rsidRPr="00DD2CF4">
        <w:rPr>
          <w:rFonts w:ascii="Avenir Book" w:hAnsi="Avenir Book"/>
          <w:sz w:val="24"/>
          <w:szCs w:val="24"/>
        </w:rPr>
        <w:t xml:space="preserve">Now that I have disagreed with the authors basic thesis regarding Gadamer’s realism, I </w:t>
      </w:r>
      <w:proofErr w:type="gramStart"/>
      <w:r w:rsidRPr="00DD2CF4">
        <w:rPr>
          <w:rFonts w:ascii="Avenir Book" w:hAnsi="Avenir Book"/>
          <w:sz w:val="24"/>
          <w:szCs w:val="24"/>
        </w:rPr>
        <w:t>have to</w:t>
      </w:r>
      <w:proofErr w:type="gramEnd"/>
      <w:r w:rsidRPr="00DD2CF4">
        <w:rPr>
          <w:rFonts w:ascii="Avenir Book" w:hAnsi="Avenir Book"/>
          <w:sz w:val="24"/>
          <w:szCs w:val="24"/>
        </w:rPr>
        <w:t xml:space="preserve"> ask myself whether am disagreeing with </w:t>
      </w:r>
      <w:proofErr w:type="spellStart"/>
      <w:r w:rsidRPr="00DD2CF4">
        <w:rPr>
          <w:rFonts w:ascii="Avenir Book" w:hAnsi="Avenir Book"/>
          <w:sz w:val="24"/>
          <w:szCs w:val="24"/>
        </w:rPr>
        <w:t>DaVia</w:t>
      </w:r>
      <w:proofErr w:type="spellEnd"/>
      <w:r w:rsidRPr="00DD2CF4">
        <w:rPr>
          <w:rFonts w:ascii="Avenir Book" w:hAnsi="Avenir Book"/>
          <w:sz w:val="24"/>
          <w:szCs w:val="24"/>
        </w:rPr>
        <w:t xml:space="preserve"> and Lynch, or are they right about Gadamer, and I am disagreeing not so much with them but with Gadamer.  As I consider this, I find myself wanting to say that Gadamer wants it both ways, and that </w:t>
      </w:r>
      <w:proofErr w:type="spellStart"/>
      <w:r w:rsidRPr="00DD2CF4">
        <w:rPr>
          <w:rFonts w:ascii="Avenir Book" w:hAnsi="Avenir Book"/>
          <w:sz w:val="24"/>
          <w:szCs w:val="24"/>
        </w:rPr>
        <w:t>DaVia</w:t>
      </w:r>
      <w:proofErr w:type="spellEnd"/>
      <w:r w:rsidRPr="00DD2CF4">
        <w:rPr>
          <w:rFonts w:ascii="Avenir Book" w:hAnsi="Avenir Book"/>
          <w:sz w:val="24"/>
          <w:szCs w:val="24"/>
        </w:rPr>
        <w:t xml:space="preserve"> and Lynch and their book may be more consistent </w:t>
      </w:r>
      <w:proofErr w:type="gramStart"/>
      <w:r w:rsidRPr="00DD2CF4">
        <w:rPr>
          <w:rFonts w:ascii="Avenir Book" w:hAnsi="Avenir Book"/>
          <w:sz w:val="24"/>
          <w:szCs w:val="24"/>
        </w:rPr>
        <w:t>in regard to</w:t>
      </w:r>
      <w:proofErr w:type="gramEnd"/>
      <w:r w:rsidRPr="00DD2CF4">
        <w:rPr>
          <w:rFonts w:ascii="Avenir Book" w:hAnsi="Avenir Book"/>
          <w:sz w:val="24"/>
          <w:szCs w:val="24"/>
        </w:rPr>
        <w:t xml:space="preserve"> this fundamental question than Gadamer is.</w:t>
      </w:r>
    </w:p>
    <w:p w14:paraId="0E95658A" w14:textId="10B8D120" w:rsidR="000E62E7" w:rsidRPr="00DD2CF4" w:rsidRDefault="000E62E7" w:rsidP="000E62E7">
      <w:pPr>
        <w:ind w:firstLine="720"/>
        <w:rPr>
          <w:rFonts w:ascii="Avenir Book" w:hAnsi="Avenir Book"/>
          <w:sz w:val="24"/>
          <w:szCs w:val="24"/>
        </w:rPr>
      </w:pPr>
      <w:r w:rsidRPr="00DD2CF4">
        <w:rPr>
          <w:rFonts w:ascii="Avenir Book" w:hAnsi="Avenir Book"/>
          <w:sz w:val="24"/>
          <w:szCs w:val="24"/>
        </w:rPr>
        <w:t xml:space="preserve">Let me finally add something about Gadamer wanting it both ways. In </w:t>
      </w:r>
      <w:r w:rsidRPr="00DD2CF4">
        <w:rPr>
          <w:rFonts w:ascii="Avenir Book" w:hAnsi="Avenir Book"/>
          <w:i/>
          <w:iCs/>
          <w:sz w:val="24"/>
          <w:szCs w:val="24"/>
        </w:rPr>
        <w:t>Truth and Method</w:t>
      </w:r>
      <w:r w:rsidRPr="00DD2CF4">
        <w:rPr>
          <w:rFonts w:ascii="Avenir Book" w:hAnsi="Avenir Book"/>
          <w:sz w:val="24"/>
          <w:szCs w:val="24"/>
        </w:rPr>
        <w:t xml:space="preserve"> in the culminating ontological section, Gadamer writes: “That is why the hermeneutical phenomenon also can be illuminated only in light of the fundamental finitude of being which is wholly verbal in character.”</w:t>
      </w:r>
      <w:r w:rsidRPr="00DD2CF4">
        <w:rPr>
          <w:rStyle w:val="FootnoteReference"/>
          <w:rFonts w:ascii="Avenir Book" w:hAnsi="Avenir Book"/>
          <w:sz w:val="24"/>
          <w:szCs w:val="24"/>
        </w:rPr>
        <w:footnoteReference w:id="10"/>
      </w:r>
      <w:r w:rsidRPr="00DD2CF4">
        <w:rPr>
          <w:rFonts w:ascii="Avenir Book" w:hAnsi="Avenir Book"/>
          <w:sz w:val="24"/>
          <w:szCs w:val="24"/>
        </w:rPr>
        <w:t xml:space="preserve"> Here is the claim that Being is language—wholly verbal (linguistic)in character. A bit later in the text, Gadamer writes: “If we start from the basic ontological view that being is language</w:t>
      </w:r>
      <w:r w:rsidR="00490E7C">
        <w:rPr>
          <w:rFonts w:ascii="Avenir Book" w:hAnsi="Avenir Book"/>
          <w:sz w:val="24"/>
          <w:szCs w:val="24"/>
        </w:rPr>
        <w:t>. . . .</w:t>
      </w:r>
      <w:r w:rsidRPr="00DD2CF4">
        <w:rPr>
          <w:rFonts w:ascii="Avenir Book" w:hAnsi="Avenir Book"/>
          <w:sz w:val="24"/>
          <w:szCs w:val="24"/>
        </w:rPr>
        <w:t>”</w:t>
      </w:r>
      <w:r w:rsidRPr="00DD2CF4">
        <w:rPr>
          <w:rStyle w:val="FootnoteReference"/>
          <w:rFonts w:ascii="Avenir Book" w:hAnsi="Avenir Book"/>
          <w:sz w:val="24"/>
          <w:szCs w:val="24"/>
        </w:rPr>
        <w:footnoteReference w:id="11"/>
      </w:r>
      <w:r w:rsidRPr="00DD2CF4">
        <w:rPr>
          <w:rFonts w:ascii="Avenir Book" w:hAnsi="Avenir Book"/>
          <w:sz w:val="24"/>
          <w:szCs w:val="24"/>
        </w:rPr>
        <w:t xml:space="preserve"> This reiterates the claim. We all know how sharply Gadamer was criticized for the claim, the proposition: “Being that can be understood is language.”  </w:t>
      </w:r>
    </w:p>
    <w:p w14:paraId="14651AEE" w14:textId="3B2AB521" w:rsidR="000E62E7" w:rsidRDefault="000E62E7" w:rsidP="000E62E7">
      <w:pPr>
        <w:ind w:firstLine="720"/>
        <w:rPr>
          <w:rFonts w:ascii="Avenir Book" w:hAnsi="Avenir Book"/>
        </w:rPr>
      </w:pPr>
      <w:r w:rsidRPr="00DD2CF4">
        <w:rPr>
          <w:rFonts w:ascii="Avenir Book" w:hAnsi="Avenir Book"/>
          <w:sz w:val="24"/>
          <w:szCs w:val="24"/>
        </w:rPr>
        <w:t>Later in his life, Gadamer writes in his “Autobiographical Reflections,” that “naturally, the fundamental linguisticality of understanding cannot mean that all experience of the world can only take place as and in language.”</w:t>
      </w:r>
      <w:r w:rsidRPr="00DD2CF4">
        <w:rPr>
          <w:rStyle w:val="FootnoteReference"/>
          <w:rFonts w:ascii="Avenir Book" w:hAnsi="Avenir Book"/>
          <w:sz w:val="24"/>
          <w:szCs w:val="24"/>
        </w:rPr>
        <w:footnoteReference w:id="12"/>
      </w:r>
      <w:r w:rsidRPr="00DD2CF4">
        <w:rPr>
          <w:rFonts w:ascii="Avenir Book" w:hAnsi="Avenir Book"/>
          <w:sz w:val="24"/>
          <w:szCs w:val="24"/>
        </w:rPr>
        <w:t xml:space="preserve"> Here we find an important distinction between “experience” (</w:t>
      </w:r>
      <w:proofErr w:type="spellStart"/>
      <w:r w:rsidRPr="00DD2CF4">
        <w:rPr>
          <w:rFonts w:ascii="Avenir Book" w:hAnsi="Avenir Book"/>
          <w:i/>
          <w:iCs/>
          <w:sz w:val="24"/>
          <w:szCs w:val="24"/>
        </w:rPr>
        <w:t>Erfahrung</w:t>
      </w:r>
      <w:proofErr w:type="spellEnd"/>
      <w:r w:rsidRPr="00DD2CF4">
        <w:rPr>
          <w:rFonts w:ascii="Avenir Book" w:hAnsi="Avenir Book"/>
          <w:sz w:val="24"/>
          <w:szCs w:val="24"/>
        </w:rPr>
        <w:t>) and language/linguisticality.  Later, in the published conversation with Grondin, he says: “I have never thought and never ever said that everything is language. Being that can be understood, insofar as it can be understood, is language.  This contains a limitation.  What cannot be</w:t>
      </w:r>
      <w:r w:rsidR="00490E7C">
        <w:rPr>
          <w:rFonts w:ascii="Avenir Book" w:hAnsi="Avenir Book"/>
          <w:sz w:val="24"/>
          <w:szCs w:val="24"/>
        </w:rPr>
        <w:t xml:space="preserve"> </w:t>
      </w:r>
      <w:r w:rsidRPr="00DD2CF4">
        <w:rPr>
          <w:rFonts w:ascii="Avenir Book" w:hAnsi="Avenir Book"/>
          <w:sz w:val="24"/>
          <w:szCs w:val="24"/>
        </w:rPr>
        <w:lastRenderedPageBreak/>
        <w:t>understood can pose an endless task of at least finding a word that comes a little closer to the matter at issue [</w:t>
      </w:r>
      <w:r w:rsidRPr="00DD2CF4">
        <w:rPr>
          <w:rFonts w:ascii="Avenir Book" w:hAnsi="Avenir Book"/>
          <w:i/>
          <w:iCs/>
          <w:sz w:val="24"/>
          <w:szCs w:val="24"/>
        </w:rPr>
        <w:t>die Sache</w:t>
      </w:r>
      <w:r w:rsidRPr="00DD2CF4">
        <w:rPr>
          <w:rFonts w:ascii="Avenir Book" w:hAnsi="Avenir Book"/>
          <w:sz w:val="24"/>
          <w:szCs w:val="24"/>
        </w:rPr>
        <w:t>].”</w:t>
      </w:r>
      <w:r w:rsidRPr="00DD2CF4">
        <w:rPr>
          <w:rStyle w:val="FootnoteReference"/>
          <w:rFonts w:ascii="Avenir Book" w:hAnsi="Avenir Book"/>
          <w:sz w:val="24"/>
          <w:szCs w:val="24"/>
        </w:rPr>
        <w:footnoteReference w:id="13"/>
      </w:r>
      <w:r w:rsidRPr="00DD2CF4">
        <w:rPr>
          <w:rFonts w:ascii="Avenir Book" w:hAnsi="Avenir Book"/>
          <w:sz w:val="24"/>
          <w:szCs w:val="24"/>
        </w:rPr>
        <w:t xml:space="preserve"> Here we find a distinction between language/linguisticality and </w:t>
      </w:r>
      <w:r w:rsidRPr="00DD2CF4">
        <w:rPr>
          <w:rFonts w:ascii="Avenir Book" w:hAnsi="Avenir Book"/>
          <w:i/>
          <w:iCs/>
          <w:sz w:val="24"/>
          <w:szCs w:val="24"/>
        </w:rPr>
        <w:t>die Sache</w:t>
      </w:r>
      <w:r w:rsidRPr="00DD2CF4">
        <w:rPr>
          <w:rFonts w:ascii="Avenir Book" w:hAnsi="Avenir Book"/>
          <w:sz w:val="24"/>
          <w:szCs w:val="24"/>
        </w:rPr>
        <w:t xml:space="preserve">. This would suggest to me that Being is not </w:t>
      </w:r>
      <w:proofErr w:type="gramStart"/>
      <w:r w:rsidRPr="00DD2CF4">
        <w:rPr>
          <w:rFonts w:ascii="Avenir Book" w:hAnsi="Avenir Book"/>
          <w:sz w:val="24"/>
          <w:szCs w:val="24"/>
        </w:rPr>
        <w:t>meaning—contra</w:t>
      </w:r>
      <w:proofErr w:type="gramEnd"/>
      <w:r w:rsidRPr="00DD2CF4">
        <w:rPr>
          <w:rFonts w:ascii="Avenir Book" w:hAnsi="Avenir Book"/>
          <w:sz w:val="24"/>
          <w:szCs w:val="24"/>
        </w:rPr>
        <w:t xml:space="preserve"> the thesis of this book.</w:t>
      </w:r>
    </w:p>
    <w:p w14:paraId="3404495D" w14:textId="385500C8" w:rsidR="00B51346" w:rsidRPr="00575A0E" w:rsidRDefault="00933266" w:rsidP="0043423A">
      <w:pPr>
        <w:pStyle w:val="Heading2"/>
        <w:spacing w:before="360" w:after="200"/>
        <w:rPr>
          <w:rFonts w:ascii="Avenir Book" w:hAnsi="Avenir Book"/>
          <w:color w:val="000000" w:themeColor="text1"/>
        </w:rPr>
      </w:pPr>
      <w:r>
        <w:rPr>
          <w:rFonts w:ascii="Avenir Book" w:hAnsi="Avenir Book"/>
          <w:color w:val="000000" w:themeColor="text1"/>
        </w:rPr>
        <w:t>Bibliography</w:t>
      </w:r>
    </w:p>
    <w:p w14:paraId="43663271" w14:textId="32A6C2E9" w:rsidR="000E62E7" w:rsidRPr="00DD2CF4" w:rsidRDefault="000E62E7" w:rsidP="0043423A">
      <w:pPr>
        <w:pStyle w:val="FootnoteText"/>
        <w:spacing w:before="240" w:after="120" w:line="240" w:lineRule="auto"/>
        <w:ind w:left="720" w:hanging="720"/>
        <w:rPr>
          <w:rFonts w:ascii="Avenir Book" w:hAnsi="Avenir Book"/>
          <w:color w:val="000000"/>
          <w:sz w:val="24"/>
          <w:szCs w:val="24"/>
          <w:shd w:val="clear" w:color="auto" w:fill="FFFFFF"/>
        </w:rPr>
      </w:pPr>
      <w:proofErr w:type="spellStart"/>
      <w:r w:rsidRPr="00DD2CF4">
        <w:rPr>
          <w:rFonts w:ascii="Avenir Book" w:hAnsi="Avenir Book"/>
          <w:color w:val="000000"/>
          <w:sz w:val="24"/>
          <w:szCs w:val="24"/>
          <w:shd w:val="clear" w:color="auto" w:fill="FFFFFF"/>
        </w:rPr>
        <w:t>DaVia</w:t>
      </w:r>
      <w:proofErr w:type="spellEnd"/>
      <w:r w:rsidR="00F7403C">
        <w:rPr>
          <w:rFonts w:ascii="Avenir Book" w:hAnsi="Avenir Book"/>
          <w:color w:val="000000"/>
          <w:sz w:val="24"/>
          <w:szCs w:val="24"/>
          <w:shd w:val="clear" w:color="auto" w:fill="FFFFFF"/>
        </w:rPr>
        <w:t xml:space="preserve">, </w:t>
      </w:r>
      <w:r w:rsidR="00F7403C" w:rsidRPr="00DD2CF4">
        <w:rPr>
          <w:rFonts w:ascii="Avenir Book" w:hAnsi="Avenir Book"/>
          <w:color w:val="000000"/>
          <w:sz w:val="24"/>
          <w:szCs w:val="24"/>
          <w:shd w:val="clear" w:color="auto" w:fill="FFFFFF"/>
        </w:rPr>
        <w:t>Carlo</w:t>
      </w:r>
      <w:r w:rsidRPr="00DD2CF4">
        <w:rPr>
          <w:rFonts w:ascii="Avenir Book" w:hAnsi="Avenir Book"/>
          <w:color w:val="000000"/>
          <w:sz w:val="24"/>
          <w:szCs w:val="24"/>
          <w:shd w:val="clear" w:color="auto" w:fill="FFFFFF"/>
        </w:rPr>
        <w:t xml:space="preserve"> and Greg Lynch. </w:t>
      </w:r>
      <w:r w:rsidRPr="00DD2CF4">
        <w:rPr>
          <w:rFonts w:ascii="Avenir Book" w:hAnsi="Avenir Book"/>
          <w:i/>
          <w:iCs/>
          <w:color w:val="000000"/>
          <w:sz w:val="24"/>
          <w:szCs w:val="24"/>
          <w:shd w:val="clear" w:color="auto" w:fill="FFFFFF"/>
        </w:rPr>
        <w:t>The Event of Meaning in Gadamer’s Hermeneutics.</w:t>
      </w:r>
      <w:r w:rsidRPr="00DD2CF4">
        <w:rPr>
          <w:rFonts w:ascii="Avenir Book" w:hAnsi="Avenir Book"/>
          <w:color w:val="000000"/>
          <w:sz w:val="24"/>
          <w:szCs w:val="24"/>
          <w:shd w:val="clear" w:color="auto" w:fill="FFFFFF"/>
        </w:rPr>
        <w:t xml:space="preserve"> Routledge, 2024.</w:t>
      </w:r>
    </w:p>
    <w:p w14:paraId="0EBAD0C7" w14:textId="42904454" w:rsidR="000E62E7" w:rsidRPr="00DD2CF4" w:rsidRDefault="000E62E7" w:rsidP="0043423A">
      <w:pPr>
        <w:pStyle w:val="FootnoteText"/>
        <w:spacing w:before="240" w:after="120" w:line="240" w:lineRule="auto"/>
        <w:ind w:left="720" w:hanging="720"/>
        <w:rPr>
          <w:rFonts w:ascii="Avenir Book" w:hAnsi="Avenir Book"/>
          <w:color w:val="000000"/>
          <w:sz w:val="24"/>
          <w:szCs w:val="24"/>
          <w:shd w:val="clear" w:color="auto" w:fill="FFFFFF"/>
        </w:rPr>
      </w:pPr>
      <w:r w:rsidRPr="00DD2CF4">
        <w:rPr>
          <w:rFonts w:ascii="Avenir Book" w:hAnsi="Avenir Book"/>
          <w:color w:val="000000"/>
          <w:sz w:val="24"/>
          <w:szCs w:val="24"/>
          <w:shd w:val="clear" w:color="auto" w:fill="FFFFFF"/>
        </w:rPr>
        <w:t>Gadamer</w:t>
      </w:r>
      <w:r w:rsidR="00F7403C">
        <w:rPr>
          <w:rFonts w:ascii="Avenir Book" w:hAnsi="Avenir Book"/>
          <w:color w:val="000000"/>
          <w:sz w:val="24"/>
          <w:szCs w:val="24"/>
          <w:shd w:val="clear" w:color="auto" w:fill="FFFFFF"/>
        </w:rPr>
        <w:t xml:space="preserve">, </w:t>
      </w:r>
      <w:r w:rsidR="00F7403C" w:rsidRPr="00DD2CF4">
        <w:rPr>
          <w:rFonts w:ascii="Avenir Book" w:hAnsi="Avenir Book"/>
          <w:color w:val="000000"/>
          <w:sz w:val="24"/>
          <w:szCs w:val="24"/>
          <w:shd w:val="clear" w:color="auto" w:fill="FFFFFF"/>
        </w:rPr>
        <w:t>Hans-Georg</w:t>
      </w:r>
      <w:r w:rsidRPr="00DD2CF4">
        <w:rPr>
          <w:rFonts w:ascii="Avenir Book" w:hAnsi="Avenir Book"/>
          <w:color w:val="000000"/>
          <w:sz w:val="24"/>
          <w:szCs w:val="24"/>
          <w:shd w:val="clear" w:color="auto" w:fill="FFFFFF"/>
        </w:rPr>
        <w:t xml:space="preserve">. “The Boundaries of Language.” Translated by Lawrence Schmidt and Monika Reuss. In </w:t>
      </w:r>
      <w:r w:rsidRPr="00DD2CF4">
        <w:rPr>
          <w:rFonts w:ascii="Avenir Book" w:hAnsi="Avenir Book"/>
          <w:i/>
          <w:iCs/>
          <w:color w:val="000000"/>
          <w:sz w:val="24"/>
          <w:szCs w:val="24"/>
          <w:shd w:val="clear" w:color="auto" w:fill="FFFFFF"/>
        </w:rPr>
        <w:t xml:space="preserve">Language and Linguisticality in Gadamer’s Hermeneutics. </w:t>
      </w:r>
      <w:r w:rsidRPr="00DD2CF4">
        <w:rPr>
          <w:rFonts w:ascii="Avenir Book" w:hAnsi="Avenir Book"/>
          <w:color w:val="000000"/>
          <w:sz w:val="24"/>
          <w:szCs w:val="24"/>
          <w:shd w:val="clear" w:color="auto" w:fill="FFFFFF"/>
        </w:rPr>
        <w:t>Edited by Lawrence Schmidt. Lexington Books, 2000.</w:t>
      </w:r>
    </w:p>
    <w:p w14:paraId="7541BC1D" w14:textId="339A22A2" w:rsidR="000E62E7" w:rsidRPr="00DD2CF4" w:rsidRDefault="000E62E7" w:rsidP="0043423A">
      <w:pPr>
        <w:pStyle w:val="FootnoteText"/>
        <w:spacing w:before="240" w:after="120" w:line="240" w:lineRule="auto"/>
        <w:ind w:left="720" w:hanging="720"/>
        <w:rPr>
          <w:rFonts w:ascii="Avenir Book" w:hAnsi="Avenir Book"/>
          <w:color w:val="000000"/>
          <w:sz w:val="24"/>
          <w:szCs w:val="24"/>
          <w:shd w:val="clear" w:color="auto" w:fill="FFFFFF"/>
        </w:rPr>
      </w:pPr>
      <w:r w:rsidRPr="00DD2CF4">
        <w:rPr>
          <w:rFonts w:ascii="Avenir Book" w:hAnsi="Avenir Book"/>
          <w:color w:val="000000"/>
          <w:sz w:val="24"/>
          <w:szCs w:val="24"/>
          <w:shd w:val="clear" w:color="auto" w:fill="FFFFFF"/>
        </w:rPr>
        <w:t>Gadamer</w:t>
      </w:r>
      <w:r w:rsidR="00F7403C">
        <w:rPr>
          <w:rFonts w:ascii="Avenir Book" w:hAnsi="Avenir Book"/>
          <w:color w:val="000000"/>
          <w:sz w:val="24"/>
          <w:szCs w:val="24"/>
          <w:shd w:val="clear" w:color="auto" w:fill="FFFFFF"/>
        </w:rPr>
        <w:t xml:space="preserve">, </w:t>
      </w:r>
      <w:r w:rsidR="00F7403C" w:rsidRPr="00DD2CF4">
        <w:rPr>
          <w:rFonts w:ascii="Avenir Book" w:hAnsi="Avenir Book"/>
          <w:color w:val="000000"/>
          <w:sz w:val="24"/>
          <w:szCs w:val="24"/>
          <w:shd w:val="clear" w:color="auto" w:fill="FFFFFF"/>
        </w:rPr>
        <w:t>Hans-Georg</w:t>
      </w:r>
      <w:r w:rsidRPr="00DD2CF4">
        <w:rPr>
          <w:rFonts w:ascii="Avenir Book" w:hAnsi="Avenir Book"/>
          <w:color w:val="000000"/>
          <w:sz w:val="24"/>
          <w:szCs w:val="24"/>
          <w:shd w:val="clear" w:color="auto" w:fill="FFFFFF"/>
        </w:rPr>
        <w:t>.</w:t>
      </w:r>
      <w:r w:rsidR="00F7403C">
        <w:rPr>
          <w:rFonts w:ascii="Avenir Book" w:hAnsi="Avenir Book"/>
          <w:color w:val="000000"/>
          <w:sz w:val="24"/>
          <w:szCs w:val="24"/>
          <w:shd w:val="clear" w:color="auto" w:fill="FFFFFF"/>
        </w:rPr>
        <w:t xml:space="preserve"> </w:t>
      </w:r>
      <w:r w:rsidRPr="00DD2CF4">
        <w:rPr>
          <w:rFonts w:ascii="Avenir Book" w:hAnsi="Avenir Book"/>
          <w:i/>
          <w:iCs/>
          <w:color w:val="000000"/>
          <w:sz w:val="24"/>
          <w:szCs w:val="24"/>
          <w:shd w:val="clear" w:color="auto" w:fill="FFFFFF"/>
        </w:rPr>
        <w:t>The Gadamer Reader</w:t>
      </w:r>
      <w:r w:rsidRPr="00DD2CF4">
        <w:rPr>
          <w:rFonts w:ascii="Avenir Book" w:hAnsi="Avenir Book"/>
          <w:color w:val="000000"/>
          <w:sz w:val="24"/>
          <w:szCs w:val="24"/>
          <w:shd w:val="clear" w:color="auto" w:fill="FFFFFF"/>
        </w:rPr>
        <w:t>. Translated by Richard Palmer. Northwestern University Press, 2007.</w:t>
      </w:r>
      <w:r w:rsidR="00F7403C">
        <w:rPr>
          <w:rFonts w:ascii="Avenir Book" w:hAnsi="Avenir Book"/>
          <w:color w:val="000000"/>
          <w:sz w:val="24"/>
          <w:szCs w:val="24"/>
          <w:shd w:val="clear" w:color="auto" w:fill="FFFFFF"/>
        </w:rPr>
        <w:t xml:space="preserve"> [GR]</w:t>
      </w:r>
    </w:p>
    <w:p w14:paraId="61252A70" w14:textId="3B2F6BB5" w:rsidR="000E62E7" w:rsidRPr="00DD2CF4" w:rsidRDefault="000E62E7" w:rsidP="0043423A">
      <w:pPr>
        <w:pStyle w:val="FootnoteText"/>
        <w:spacing w:before="240" w:after="120" w:line="240" w:lineRule="auto"/>
        <w:ind w:left="720" w:hanging="720"/>
        <w:rPr>
          <w:rFonts w:ascii="Avenir Book" w:hAnsi="Avenir Book"/>
          <w:color w:val="000000"/>
          <w:sz w:val="24"/>
          <w:szCs w:val="24"/>
          <w:shd w:val="clear" w:color="auto" w:fill="FFFFFF"/>
        </w:rPr>
      </w:pPr>
      <w:r w:rsidRPr="00DD2CF4">
        <w:rPr>
          <w:rFonts w:ascii="Avenir Book" w:hAnsi="Avenir Book"/>
          <w:color w:val="000000"/>
          <w:sz w:val="24"/>
          <w:szCs w:val="24"/>
          <w:shd w:val="clear" w:color="auto" w:fill="FFFFFF"/>
        </w:rPr>
        <w:t>Gadamer</w:t>
      </w:r>
      <w:r w:rsidR="00F7403C">
        <w:rPr>
          <w:rFonts w:ascii="Avenir Book" w:hAnsi="Avenir Book"/>
          <w:color w:val="000000"/>
          <w:sz w:val="24"/>
          <w:szCs w:val="24"/>
          <w:shd w:val="clear" w:color="auto" w:fill="FFFFFF"/>
        </w:rPr>
        <w:t xml:space="preserve">, </w:t>
      </w:r>
      <w:r w:rsidR="00F7403C" w:rsidRPr="00DD2CF4">
        <w:rPr>
          <w:rFonts w:ascii="Avenir Book" w:hAnsi="Avenir Book"/>
          <w:color w:val="000000"/>
          <w:sz w:val="24"/>
          <w:szCs w:val="24"/>
          <w:shd w:val="clear" w:color="auto" w:fill="FFFFFF"/>
        </w:rPr>
        <w:t>Hans-Georg</w:t>
      </w:r>
      <w:r w:rsidRPr="00DD2CF4">
        <w:rPr>
          <w:rFonts w:ascii="Avenir Book" w:hAnsi="Avenir Book"/>
          <w:color w:val="000000"/>
          <w:sz w:val="24"/>
          <w:szCs w:val="24"/>
          <w:shd w:val="clear" w:color="auto" w:fill="FFFFFF"/>
        </w:rPr>
        <w:t>.</w:t>
      </w:r>
      <w:r w:rsidR="00F7403C">
        <w:rPr>
          <w:rStyle w:val="apple-converted-space"/>
          <w:rFonts w:ascii="Avenir Book" w:hAnsi="Avenir Book"/>
          <w:color w:val="000000"/>
          <w:sz w:val="24"/>
          <w:szCs w:val="24"/>
          <w:shd w:val="clear" w:color="auto" w:fill="FFFFFF"/>
        </w:rPr>
        <w:t xml:space="preserve"> </w:t>
      </w:r>
      <w:r w:rsidRPr="00DD2CF4">
        <w:rPr>
          <w:rFonts w:ascii="Avenir Book" w:hAnsi="Avenir Book"/>
          <w:i/>
          <w:iCs/>
          <w:color w:val="000000"/>
          <w:sz w:val="24"/>
          <w:szCs w:val="24"/>
        </w:rPr>
        <w:t>Truth and Method</w:t>
      </w:r>
      <w:r w:rsidRPr="00DD2CF4">
        <w:rPr>
          <w:rFonts w:ascii="Avenir Book" w:hAnsi="Avenir Book"/>
          <w:color w:val="000000"/>
          <w:sz w:val="24"/>
          <w:szCs w:val="24"/>
          <w:shd w:val="clear" w:color="auto" w:fill="FFFFFF"/>
        </w:rPr>
        <w:t>. Translated and revised by Joel Weinsheimer and Donald G. Marshall. Continuum, 1999.</w:t>
      </w:r>
      <w:r w:rsidR="00F7403C">
        <w:rPr>
          <w:rFonts w:ascii="Avenir Book" w:hAnsi="Avenir Book"/>
          <w:color w:val="000000"/>
          <w:sz w:val="24"/>
          <w:szCs w:val="24"/>
          <w:shd w:val="clear" w:color="auto" w:fill="FFFFFF"/>
        </w:rPr>
        <w:t xml:space="preserve"> [TM]</w:t>
      </w:r>
    </w:p>
    <w:p w14:paraId="69D9FA67" w14:textId="2543C3D7" w:rsidR="000E62E7" w:rsidRPr="00DD2CF4" w:rsidRDefault="000E62E7" w:rsidP="0043423A">
      <w:pPr>
        <w:pStyle w:val="FootnoteText"/>
        <w:spacing w:before="240" w:after="120" w:line="240" w:lineRule="auto"/>
        <w:ind w:left="720" w:hanging="720"/>
        <w:rPr>
          <w:rFonts w:ascii="Avenir Book" w:hAnsi="Avenir Book"/>
          <w:color w:val="000000"/>
          <w:sz w:val="24"/>
          <w:szCs w:val="24"/>
          <w:shd w:val="clear" w:color="auto" w:fill="FFFFFF"/>
        </w:rPr>
      </w:pPr>
      <w:r w:rsidRPr="00DD2CF4">
        <w:rPr>
          <w:rFonts w:ascii="Avenir Book" w:hAnsi="Avenir Book"/>
          <w:color w:val="000000"/>
          <w:sz w:val="24"/>
          <w:szCs w:val="24"/>
          <w:shd w:val="clear" w:color="auto" w:fill="FFFFFF"/>
        </w:rPr>
        <w:t>Heidegger</w:t>
      </w:r>
      <w:r w:rsidR="00F7403C">
        <w:rPr>
          <w:rFonts w:ascii="Avenir Book" w:hAnsi="Avenir Book"/>
          <w:color w:val="000000"/>
          <w:sz w:val="24"/>
          <w:szCs w:val="24"/>
          <w:shd w:val="clear" w:color="auto" w:fill="FFFFFF"/>
        </w:rPr>
        <w:t xml:space="preserve">, </w:t>
      </w:r>
      <w:r w:rsidR="00F7403C" w:rsidRPr="00DD2CF4">
        <w:rPr>
          <w:rFonts w:ascii="Avenir Book" w:hAnsi="Avenir Book"/>
          <w:color w:val="000000"/>
          <w:sz w:val="24"/>
          <w:szCs w:val="24"/>
          <w:shd w:val="clear" w:color="auto" w:fill="FFFFFF"/>
        </w:rPr>
        <w:t>Martin</w:t>
      </w:r>
      <w:r w:rsidRPr="00DD2CF4">
        <w:rPr>
          <w:rFonts w:ascii="Avenir Book" w:hAnsi="Avenir Book"/>
          <w:color w:val="000000"/>
          <w:sz w:val="24"/>
          <w:szCs w:val="24"/>
          <w:shd w:val="clear" w:color="auto" w:fill="FFFFFF"/>
        </w:rPr>
        <w:t xml:space="preserve">. </w:t>
      </w:r>
      <w:r w:rsidRPr="00DD2CF4">
        <w:rPr>
          <w:rFonts w:ascii="Avenir Book" w:hAnsi="Avenir Book"/>
          <w:i/>
          <w:iCs/>
          <w:color w:val="000000"/>
          <w:sz w:val="24"/>
          <w:szCs w:val="24"/>
          <w:shd w:val="clear" w:color="auto" w:fill="FFFFFF"/>
        </w:rPr>
        <w:t>Being and Time</w:t>
      </w:r>
      <w:r w:rsidRPr="00DD2CF4">
        <w:rPr>
          <w:rFonts w:ascii="Avenir Book" w:hAnsi="Avenir Book"/>
          <w:color w:val="000000"/>
          <w:sz w:val="24"/>
          <w:szCs w:val="24"/>
          <w:shd w:val="clear" w:color="auto" w:fill="FFFFFF"/>
        </w:rPr>
        <w:t>. Translated by Joan Stambaugh and revised by Dennis Schmidt. State University of New York, 2010.</w:t>
      </w:r>
    </w:p>
    <w:p w14:paraId="6FACF302" w14:textId="77777777" w:rsidR="00B51346" w:rsidRPr="00575A0E" w:rsidRDefault="00B51346" w:rsidP="00B51346">
      <w:pPr>
        <w:spacing w:before="120" w:after="120" w:line="240" w:lineRule="auto"/>
        <w:ind w:left="720" w:hanging="720"/>
        <w:rPr>
          <w:rFonts w:ascii="Avenir Book" w:hAnsi="Avenir Book"/>
          <w:color w:val="000000" w:themeColor="text1"/>
          <w:sz w:val="24"/>
          <w:szCs w:val="24"/>
        </w:rPr>
      </w:pPr>
    </w:p>
    <w:p w14:paraId="58F3761B" w14:textId="77777777" w:rsidR="00B51346" w:rsidRPr="00575A0E" w:rsidRDefault="00B51346">
      <w:pPr>
        <w:rPr>
          <w:rFonts w:ascii="Avenir Book" w:hAnsi="Avenir Book"/>
          <w:color w:val="000000" w:themeColor="text1"/>
        </w:rPr>
      </w:pPr>
    </w:p>
    <w:sectPr w:rsidR="00B51346" w:rsidRPr="00575A0E" w:rsidSect="003A65D4">
      <w:headerReference w:type="default" r:id="rId9"/>
      <w:footerReference w:type="even" r:id="rId10"/>
      <w:footerReference w:type="default" r:id="rId11"/>
      <w:pgSz w:w="12240" w:h="15840"/>
      <w:pgMar w:top="1440" w:right="1440" w:bottom="1440" w:left="1440" w:header="720" w:footer="720" w:gutter="0"/>
      <w:pgNumType w:start="2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5232" w14:textId="77777777" w:rsidR="00E85A9F" w:rsidRDefault="00E85A9F" w:rsidP="00B51346">
      <w:pPr>
        <w:spacing w:after="0" w:line="240" w:lineRule="auto"/>
      </w:pPr>
      <w:r>
        <w:separator/>
      </w:r>
    </w:p>
  </w:endnote>
  <w:endnote w:type="continuationSeparator" w:id="0">
    <w:p w14:paraId="5FC60021" w14:textId="77777777" w:rsidR="00E85A9F" w:rsidRDefault="00E85A9F"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80000287" w:usb1="280F3C52" w:usb2="00000016" w:usb3="00000000" w:csb0="0004001F" w:csb1="00000000"/>
  </w:font>
  <w:font w:name="Avenir Book">
    <w:panose1 w:val="02000503020000020003"/>
    <w:charset w:val="00"/>
    <w:family w:val="auto"/>
    <w:pitch w:val="variable"/>
    <w:sig w:usb0="800000AF" w:usb1="5000204A" w:usb2="00000000" w:usb3="00000000" w:csb0="0000009B"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73EAA4C4" w14:textId="77777777" w:rsidR="00B51346" w:rsidRDefault="00B51346" w:rsidP="003A65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BFD5BD"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2311194"/>
      <w:docPartObj>
        <w:docPartGallery w:val="Page Numbers (Bottom of Page)"/>
        <w:docPartUnique/>
      </w:docPartObj>
    </w:sdtPr>
    <w:sdtContent>
      <w:p w14:paraId="0DA609AF" w14:textId="2592A8D4" w:rsidR="003A65D4" w:rsidRDefault="003A65D4" w:rsidP="00286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28</w:t>
        </w:r>
        <w:r>
          <w:rPr>
            <w:rStyle w:val="PageNumber"/>
          </w:rPr>
          <w:fldChar w:fldCharType="end"/>
        </w:r>
      </w:p>
    </w:sdtContent>
  </w:sdt>
  <w:p w14:paraId="5A08963A" w14:textId="03EFD781" w:rsidR="00B51346" w:rsidRPr="00B51346" w:rsidRDefault="00B51346" w:rsidP="00B51346">
    <w:pPr>
      <w:pStyle w:val="Footer"/>
      <w:ind w:right="360"/>
      <w:rPr>
        <w:rFonts w:ascii="Gill Sans MT" w:hAnsi="Gill Sans MT"/>
      </w:rPr>
    </w:pPr>
    <w:r w:rsidRPr="00B51346">
      <w:rPr>
        <w:rFonts w:ascii="Gill Sans MT" w:hAnsi="Gill Sans MT"/>
        <w:sz w:val="20"/>
        <w:szCs w:val="20"/>
      </w:rPr>
      <w:tab/>
    </w:r>
    <w:r w:rsidRPr="00B51346">
      <w:rPr>
        <w:rFonts w:ascii="Gill Sans MT" w:hAnsi="Gill Sans MT"/>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F585C" w14:textId="77777777" w:rsidR="00E85A9F" w:rsidRDefault="00E85A9F" w:rsidP="00B51346">
      <w:pPr>
        <w:spacing w:after="0" w:line="240" w:lineRule="auto"/>
      </w:pPr>
      <w:r>
        <w:separator/>
      </w:r>
    </w:p>
  </w:footnote>
  <w:footnote w:type="continuationSeparator" w:id="0">
    <w:p w14:paraId="58434700" w14:textId="77777777" w:rsidR="00E85A9F" w:rsidRDefault="00E85A9F" w:rsidP="00B51346">
      <w:pPr>
        <w:spacing w:after="0" w:line="240" w:lineRule="auto"/>
      </w:pPr>
      <w:r>
        <w:continuationSeparator/>
      </w:r>
    </w:p>
  </w:footnote>
  <w:footnote w:id="1">
    <w:p w14:paraId="05C6CDFE" w14:textId="77777777"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Carlo </w:t>
      </w:r>
      <w:proofErr w:type="spellStart"/>
      <w:r w:rsidRPr="00DD2CF4">
        <w:rPr>
          <w:rFonts w:ascii="Avenir Book" w:hAnsi="Avenir Book"/>
        </w:rPr>
        <w:t>DaVia</w:t>
      </w:r>
      <w:proofErr w:type="spellEnd"/>
      <w:r w:rsidRPr="00DD2CF4">
        <w:rPr>
          <w:rFonts w:ascii="Avenir Book" w:hAnsi="Avenir Book"/>
        </w:rPr>
        <w:t xml:space="preserve"> and Greg Lynch, </w:t>
      </w:r>
      <w:r w:rsidRPr="00DD2CF4">
        <w:rPr>
          <w:rFonts w:ascii="Avenir Book" w:hAnsi="Avenir Book"/>
          <w:i/>
          <w:iCs/>
        </w:rPr>
        <w:t xml:space="preserve">The Event of Meaning in Gadamer’s Hermeneutics </w:t>
      </w:r>
      <w:r w:rsidRPr="00DD2CF4">
        <w:rPr>
          <w:rFonts w:ascii="Avenir Book" w:hAnsi="Avenir Book"/>
        </w:rPr>
        <w:t>(New York: Routledge, 2024), 47.</w:t>
      </w:r>
    </w:p>
  </w:footnote>
  <w:footnote w:id="2">
    <w:p w14:paraId="36D93F39" w14:textId="7E63EF21"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w:t>
      </w:r>
      <w:proofErr w:type="spellStart"/>
      <w:r w:rsidR="00933266">
        <w:rPr>
          <w:rFonts w:ascii="Avenir Book" w:hAnsi="Avenir Book"/>
        </w:rPr>
        <w:t>DaVia</w:t>
      </w:r>
      <w:proofErr w:type="spellEnd"/>
      <w:r w:rsidR="00933266">
        <w:rPr>
          <w:rFonts w:ascii="Avenir Book" w:hAnsi="Avenir Book"/>
        </w:rPr>
        <w:t xml:space="preserve"> and Lynch</w:t>
      </w:r>
      <w:r w:rsidRPr="00DD2CF4">
        <w:rPr>
          <w:rFonts w:ascii="Avenir Book" w:hAnsi="Avenir Book"/>
        </w:rPr>
        <w:t xml:space="preserve">, </w:t>
      </w:r>
      <w:r w:rsidR="00933266" w:rsidRPr="00DD2CF4">
        <w:rPr>
          <w:rFonts w:ascii="Avenir Book" w:hAnsi="Avenir Book"/>
          <w:i/>
          <w:iCs/>
        </w:rPr>
        <w:t>The Event of Meaning</w:t>
      </w:r>
      <w:r w:rsidR="00933266">
        <w:rPr>
          <w:rFonts w:ascii="Avenir Book" w:hAnsi="Avenir Book"/>
        </w:rPr>
        <w:t xml:space="preserve">, </w:t>
      </w:r>
      <w:r w:rsidRPr="00DD2CF4">
        <w:rPr>
          <w:rFonts w:ascii="Avenir Book" w:hAnsi="Avenir Book"/>
        </w:rPr>
        <w:t>99.</w:t>
      </w:r>
    </w:p>
  </w:footnote>
  <w:footnote w:id="3">
    <w:p w14:paraId="475B3F27" w14:textId="63DC38A4"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w:t>
      </w:r>
      <w:proofErr w:type="spellStart"/>
      <w:r w:rsidR="00933266">
        <w:rPr>
          <w:rFonts w:ascii="Avenir Book" w:hAnsi="Avenir Book"/>
        </w:rPr>
        <w:t>DaVia</w:t>
      </w:r>
      <w:proofErr w:type="spellEnd"/>
      <w:r w:rsidR="00933266">
        <w:rPr>
          <w:rFonts w:ascii="Avenir Book" w:hAnsi="Avenir Book"/>
        </w:rPr>
        <w:t xml:space="preserve"> and Lynch</w:t>
      </w:r>
      <w:r w:rsidR="00933266" w:rsidRPr="00DD2CF4">
        <w:rPr>
          <w:rFonts w:ascii="Avenir Book" w:hAnsi="Avenir Book"/>
        </w:rPr>
        <w:t xml:space="preserve">, </w:t>
      </w:r>
      <w:r w:rsidR="00933266" w:rsidRPr="00DD2CF4">
        <w:rPr>
          <w:rFonts w:ascii="Avenir Book" w:hAnsi="Avenir Book"/>
          <w:i/>
          <w:iCs/>
        </w:rPr>
        <w:t>The Event of Meaning</w:t>
      </w:r>
      <w:r w:rsidR="00933266">
        <w:rPr>
          <w:rFonts w:ascii="Avenir Book" w:hAnsi="Avenir Book"/>
        </w:rPr>
        <w:t xml:space="preserve">, </w:t>
      </w:r>
      <w:r w:rsidRPr="00DD2CF4">
        <w:rPr>
          <w:rFonts w:ascii="Avenir Book" w:hAnsi="Avenir Book"/>
        </w:rPr>
        <w:t>96.</w:t>
      </w:r>
    </w:p>
  </w:footnote>
  <w:footnote w:id="4">
    <w:p w14:paraId="1292A605" w14:textId="6DE49AB2" w:rsidR="000E62E7" w:rsidRPr="00DD2CF4" w:rsidRDefault="000E62E7" w:rsidP="00F7403C">
      <w:pPr>
        <w:pStyle w:val="FootnoteText"/>
        <w:spacing w:after="0" w:line="240" w:lineRule="auto"/>
        <w:rPr>
          <w:rFonts w:ascii="Avenir Book" w:hAnsi="Avenir Book"/>
          <w:i/>
          <w:iCs/>
        </w:rPr>
      </w:pPr>
      <w:r w:rsidRPr="00DD2CF4">
        <w:rPr>
          <w:rStyle w:val="FootnoteReference"/>
          <w:rFonts w:ascii="Avenir Book" w:hAnsi="Avenir Book"/>
        </w:rPr>
        <w:footnoteRef/>
      </w:r>
      <w:r w:rsidRPr="00DD2CF4">
        <w:rPr>
          <w:rFonts w:ascii="Avenir Book" w:hAnsi="Avenir Book"/>
        </w:rPr>
        <w:t xml:space="preserve"> Hans-Georg Gadamer, </w:t>
      </w:r>
      <w:r w:rsidRPr="00DD2CF4">
        <w:rPr>
          <w:rFonts w:ascii="Avenir Book" w:hAnsi="Avenir Book"/>
          <w:i/>
          <w:iCs/>
        </w:rPr>
        <w:t>Truth and Method</w:t>
      </w:r>
      <w:r w:rsidRPr="00DD2CF4">
        <w:rPr>
          <w:rFonts w:ascii="Avenir Book" w:hAnsi="Avenir Book"/>
          <w:i/>
          <w:iCs/>
          <w:color w:val="000000"/>
        </w:rPr>
        <w:t>,</w:t>
      </w:r>
      <w:r w:rsidRPr="00DD2CF4">
        <w:rPr>
          <w:rFonts w:ascii="Avenir Book" w:hAnsi="Avenir Book"/>
          <w:color w:val="000000"/>
          <w:shd w:val="clear" w:color="auto" w:fill="FFFFFF"/>
        </w:rPr>
        <w:t xml:space="preserve"> trans. </w:t>
      </w:r>
      <w:r w:rsidR="0025325C">
        <w:rPr>
          <w:rFonts w:ascii="Avenir Book" w:hAnsi="Avenir Book"/>
          <w:color w:val="000000"/>
          <w:shd w:val="clear" w:color="auto" w:fill="FFFFFF"/>
        </w:rPr>
        <w:t>and rev.</w:t>
      </w:r>
      <w:r w:rsidRPr="00DD2CF4">
        <w:rPr>
          <w:rFonts w:ascii="Avenir Book" w:hAnsi="Avenir Book"/>
          <w:color w:val="000000"/>
          <w:shd w:val="clear" w:color="auto" w:fill="FFFFFF"/>
        </w:rPr>
        <w:t xml:space="preserve"> Joel Weinsheimer and Donald G. Marshall (Continuum, 1999), 344</w:t>
      </w:r>
      <w:r w:rsidR="00F7403C">
        <w:rPr>
          <w:rFonts w:ascii="Avenir Book" w:hAnsi="Avenir Book"/>
          <w:color w:val="000000"/>
          <w:shd w:val="clear" w:color="auto" w:fill="FFFFFF"/>
        </w:rPr>
        <w:t>–</w:t>
      </w:r>
      <w:r w:rsidRPr="00DD2CF4">
        <w:rPr>
          <w:rFonts w:ascii="Avenir Book" w:hAnsi="Avenir Book"/>
          <w:color w:val="000000"/>
          <w:shd w:val="clear" w:color="auto" w:fill="FFFFFF"/>
        </w:rPr>
        <w:t>48.</w:t>
      </w:r>
    </w:p>
  </w:footnote>
  <w:footnote w:id="5">
    <w:p w14:paraId="1EF7C20B" w14:textId="1E2BBE1E"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Hans-Georg Gadamer, “The Boundaries of Language,” trans</w:t>
      </w:r>
      <w:r w:rsidR="0025325C">
        <w:rPr>
          <w:rFonts w:ascii="Avenir Book" w:hAnsi="Avenir Book"/>
        </w:rPr>
        <w:t>.</w:t>
      </w:r>
      <w:r w:rsidRPr="00DD2CF4">
        <w:rPr>
          <w:rFonts w:ascii="Avenir Book" w:hAnsi="Avenir Book"/>
        </w:rPr>
        <w:t xml:space="preserve"> Lawren</w:t>
      </w:r>
      <w:r w:rsidR="00933266">
        <w:rPr>
          <w:rFonts w:ascii="Avenir Book" w:hAnsi="Avenir Book"/>
        </w:rPr>
        <w:t>c</w:t>
      </w:r>
      <w:r w:rsidRPr="00DD2CF4">
        <w:rPr>
          <w:rFonts w:ascii="Avenir Book" w:hAnsi="Avenir Book"/>
        </w:rPr>
        <w:t xml:space="preserve">e Schmidt and Monika Reuss, in </w:t>
      </w:r>
      <w:r w:rsidRPr="00DD2CF4">
        <w:rPr>
          <w:rFonts w:ascii="Avenir Book" w:hAnsi="Avenir Book"/>
          <w:i/>
          <w:iCs/>
        </w:rPr>
        <w:t>Language and Linguisticality in Gadamer’s Hermeneutics</w:t>
      </w:r>
      <w:r w:rsidRPr="00DD2CF4">
        <w:rPr>
          <w:rFonts w:ascii="Avenir Book" w:hAnsi="Avenir Book"/>
        </w:rPr>
        <w:t>, ed. Lawrence Schmidt (Lexington Books, 2000), 17.</w:t>
      </w:r>
    </w:p>
  </w:footnote>
  <w:footnote w:id="6">
    <w:p w14:paraId="21DBEAA0" w14:textId="662877DB"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w:t>
      </w:r>
      <w:proofErr w:type="spellStart"/>
      <w:r w:rsidRPr="00DD2CF4">
        <w:rPr>
          <w:rFonts w:ascii="Avenir Book" w:hAnsi="Avenir Book"/>
        </w:rPr>
        <w:t>DaVia</w:t>
      </w:r>
      <w:proofErr w:type="spellEnd"/>
      <w:r w:rsidRPr="00DD2CF4">
        <w:rPr>
          <w:rFonts w:ascii="Avenir Book" w:hAnsi="Avenir Book"/>
        </w:rPr>
        <w:t xml:space="preserve"> and Lynch, </w:t>
      </w:r>
      <w:r w:rsidRPr="00DD2CF4">
        <w:rPr>
          <w:rFonts w:ascii="Avenir Book" w:hAnsi="Avenir Book"/>
          <w:i/>
          <w:iCs/>
        </w:rPr>
        <w:t>The Event of Meaning</w:t>
      </w:r>
      <w:r w:rsidRPr="00DD2CF4">
        <w:rPr>
          <w:rFonts w:ascii="Avenir Book" w:hAnsi="Avenir Book"/>
        </w:rPr>
        <w:t>, 178.</w:t>
      </w:r>
    </w:p>
  </w:footnote>
  <w:footnote w:id="7">
    <w:p w14:paraId="0CC4D2AC" w14:textId="3CF35A1D"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Martin Heidegger, </w:t>
      </w:r>
      <w:r w:rsidRPr="00DD2CF4">
        <w:rPr>
          <w:rFonts w:ascii="Avenir Book" w:hAnsi="Avenir Book"/>
          <w:i/>
          <w:iCs/>
        </w:rPr>
        <w:t>Being and Time</w:t>
      </w:r>
      <w:r w:rsidRPr="00DD2CF4">
        <w:rPr>
          <w:rFonts w:ascii="Avenir Book" w:hAnsi="Avenir Book"/>
        </w:rPr>
        <w:t>, trans. Joan Stambaugh</w:t>
      </w:r>
      <w:r w:rsidR="00753894">
        <w:rPr>
          <w:rFonts w:ascii="Avenir Book" w:hAnsi="Avenir Book"/>
        </w:rPr>
        <w:t xml:space="preserve"> and rev.</w:t>
      </w:r>
      <w:r w:rsidRPr="00DD2CF4">
        <w:rPr>
          <w:rFonts w:ascii="Avenir Book" w:hAnsi="Avenir Book"/>
        </w:rPr>
        <w:t xml:space="preserve"> Dennis Schmidt (State University of New York, 2010), </w:t>
      </w:r>
      <w:r w:rsidR="00753894">
        <w:rPr>
          <w:rFonts w:ascii="Avenir Book" w:hAnsi="Avenir Book"/>
        </w:rPr>
        <w:t>203–4.</w:t>
      </w:r>
    </w:p>
  </w:footnote>
  <w:footnote w:id="8">
    <w:p w14:paraId="75D2BC17" w14:textId="398B0C2A"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w:t>
      </w:r>
      <w:proofErr w:type="spellStart"/>
      <w:r w:rsidRPr="00DD2CF4">
        <w:rPr>
          <w:rFonts w:ascii="Avenir Book" w:hAnsi="Avenir Book"/>
        </w:rPr>
        <w:t>DaVia</w:t>
      </w:r>
      <w:proofErr w:type="spellEnd"/>
      <w:r w:rsidRPr="00DD2CF4">
        <w:rPr>
          <w:rFonts w:ascii="Avenir Book" w:hAnsi="Avenir Book"/>
        </w:rPr>
        <w:t xml:space="preserve"> and Lynch, </w:t>
      </w:r>
      <w:r w:rsidRPr="00DD2CF4">
        <w:rPr>
          <w:rFonts w:ascii="Avenir Book" w:hAnsi="Avenir Book"/>
          <w:i/>
          <w:iCs/>
        </w:rPr>
        <w:t>The Event of Meaning</w:t>
      </w:r>
      <w:r w:rsidRPr="00DD2CF4">
        <w:rPr>
          <w:rFonts w:ascii="Avenir Book" w:hAnsi="Avenir Book"/>
        </w:rPr>
        <w:t>, 177.</w:t>
      </w:r>
    </w:p>
  </w:footnote>
  <w:footnote w:id="9">
    <w:p w14:paraId="3086B39F" w14:textId="5F514A4A"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w:t>
      </w:r>
      <w:r w:rsidRPr="00DD2CF4">
        <w:rPr>
          <w:rFonts w:ascii="Avenir Book" w:hAnsi="Avenir Book"/>
          <w:i/>
          <w:iCs/>
        </w:rPr>
        <w:t>TM</w:t>
      </w:r>
      <w:r w:rsidR="003A47B8">
        <w:rPr>
          <w:rFonts w:ascii="Avenir Book" w:hAnsi="Avenir Book"/>
        </w:rPr>
        <w:t>,</w:t>
      </w:r>
      <w:r w:rsidRPr="00DD2CF4">
        <w:rPr>
          <w:rFonts w:ascii="Avenir Book" w:hAnsi="Avenir Book"/>
          <w:i/>
          <w:iCs/>
        </w:rPr>
        <w:t xml:space="preserve"> </w:t>
      </w:r>
      <w:r w:rsidRPr="00DD2CF4">
        <w:rPr>
          <w:rFonts w:ascii="Avenir Book" w:hAnsi="Avenir Book"/>
        </w:rPr>
        <w:t>458.</w:t>
      </w:r>
    </w:p>
  </w:footnote>
  <w:footnote w:id="10">
    <w:p w14:paraId="3AA59894" w14:textId="4FF75A55"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w:t>
      </w:r>
      <w:r w:rsidRPr="00DD2CF4">
        <w:rPr>
          <w:rFonts w:ascii="Avenir Book" w:hAnsi="Avenir Book"/>
          <w:i/>
          <w:iCs/>
        </w:rPr>
        <w:t>TM</w:t>
      </w:r>
      <w:r w:rsidR="003A47B8">
        <w:rPr>
          <w:rFonts w:ascii="Avenir Book" w:hAnsi="Avenir Book"/>
        </w:rPr>
        <w:t>,</w:t>
      </w:r>
      <w:r w:rsidRPr="00DD2CF4">
        <w:rPr>
          <w:rFonts w:ascii="Avenir Book" w:hAnsi="Avenir Book"/>
          <w:i/>
          <w:iCs/>
        </w:rPr>
        <w:t xml:space="preserve"> </w:t>
      </w:r>
      <w:r w:rsidRPr="00DD2CF4">
        <w:rPr>
          <w:rFonts w:ascii="Avenir Book" w:hAnsi="Avenir Book"/>
        </w:rPr>
        <w:t>458.</w:t>
      </w:r>
    </w:p>
  </w:footnote>
  <w:footnote w:id="11">
    <w:p w14:paraId="7DDB39FB" w14:textId="396417F1"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w:t>
      </w:r>
      <w:r w:rsidRPr="00DD2CF4">
        <w:rPr>
          <w:rFonts w:ascii="Avenir Book" w:hAnsi="Avenir Book"/>
          <w:i/>
          <w:iCs/>
        </w:rPr>
        <w:t>TM</w:t>
      </w:r>
      <w:r w:rsidR="003A47B8">
        <w:rPr>
          <w:rFonts w:ascii="Avenir Book" w:hAnsi="Avenir Book"/>
        </w:rPr>
        <w:t>,</w:t>
      </w:r>
      <w:r w:rsidRPr="00DD2CF4">
        <w:rPr>
          <w:rFonts w:ascii="Avenir Book" w:hAnsi="Avenir Book"/>
          <w:i/>
          <w:iCs/>
        </w:rPr>
        <w:t xml:space="preserve"> </w:t>
      </w:r>
      <w:r w:rsidRPr="00DD2CF4">
        <w:rPr>
          <w:rFonts w:ascii="Avenir Book" w:hAnsi="Avenir Book"/>
        </w:rPr>
        <w:t>487.</w:t>
      </w:r>
    </w:p>
  </w:footnote>
  <w:footnote w:id="12">
    <w:p w14:paraId="5E4C58AE" w14:textId="194B1DC8"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Hans-Georg Gadamer, “Autobiographical Reflections,” </w:t>
      </w:r>
      <w:r w:rsidR="0043423A">
        <w:rPr>
          <w:rFonts w:ascii="Avenir Book" w:hAnsi="Avenir Book"/>
        </w:rPr>
        <w:t xml:space="preserve">in </w:t>
      </w:r>
      <w:r w:rsidRPr="00DD2CF4">
        <w:rPr>
          <w:rFonts w:ascii="Avenir Book" w:hAnsi="Avenir Book"/>
          <w:i/>
          <w:iCs/>
        </w:rPr>
        <w:t>The Gadamer Reader</w:t>
      </w:r>
      <w:r w:rsidRPr="00DD2CF4">
        <w:rPr>
          <w:rFonts w:ascii="Avenir Book" w:hAnsi="Avenir Book"/>
        </w:rPr>
        <w:t>, trans. Richard Palmer (Northwestern University Press, 2007), 25.</w:t>
      </w:r>
    </w:p>
  </w:footnote>
  <w:footnote w:id="13">
    <w:p w14:paraId="31F2E6D9" w14:textId="4931D1AC" w:rsidR="000E62E7" w:rsidRPr="00DD2CF4" w:rsidRDefault="000E62E7" w:rsidP="00F7403C">
      <w:pPr>
        <w:pStyle w:val="FootnoteText"/>
        <w:spacing w:after="0" w:line="240" w:lineRule="auto"/>
        <w:rPr>
          <w:rFonts w:ascii="Avenir Book" w:hAnsi="Avenir Book"/>
        </w:rPr>
      </w:pPr>
      <w:r w:rsidRPr="00DD2CF4">
        <w:rPr>
          <w:rStyle w:val="FootnoteReference"/>
          <w:rFonts w:ascii="Avenir Book" w:hAnsi="Avenir Book"/>
        </w:rPr>
        <w:footnoteRef/>
      </w:r>
      <w:r w:rsidRPr="00DD2CF4">
        <w:rPr>
          <w:rFonts w:ascii="Avenir Book" w:hAnsi="Avenir Book"/>
        </w:rPr>
        <w:t xml:space="preserve"> </w:t>
      </w:r>
      <w:r w:rsidRPr="00DD2CF4">
        <w:rPr>
          <w:rFonts w:ascii="Avenir Book" w:hAnsi="Avenir Book"/>
          <w:i/>
          <w:iCs/>
        </w:rPr>
        <w:t>GR</w:t>
      </w:r>
      <w:r w:rsidR="003A47B8">
        <w:rPr>
          <w:rFonts w:ascii="Avenir Book" w:hAnsi="Avenir Book"/>
          <w:i/>
          <w:iCs/>
        </w:rPr>
        <w:t>,</w:t>
      </w:r>
      <w:r w:rsidRPr="00DD2CF4">
        <w:rPr>
          <w:rFonts w:ascii="Avenir Book" w:hAnsi="Avenir Book"/>
        </w:rPr>
        <w:t xml:space="preserve"> 417.</w:t>
      </w:r>
    </w:p>
    <w:p w14:paraId="4E8EF24A" w14:textId="77777777" w:rsidR="000E62E7" w:rsidRPr="00DD2CF4" w:rsidRDefault="000E62E7" w:rsidP="00F7403C">
      <w:pPr>
        <w:pStyle w:val="FootnoteText"/>
        <w:spacing w:after="0" w:line="240" w:lineRule="auto"/>
        <w:rPr>
          <w:rFonts w:ascii="Avenir Book" w:hAnsi="Avenir Book"/>
          <w:sz w:val="28"/>
          <w:szCs w:val="2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4D7C" w14:textId="596B3E06" w:rsidR="00B51346" w:rsidRPr="00575A0E" w:rsidRDefault="00B51346" w:rsidP="00B51346">
    <w:pPr>
      <w:pStyle w:val="Header"/>
      <w:spacing w:after="0" w:line="240" w:lineRule="auto"/>
      <w:rPr>
        <w:rFonts w:ascii="Avenir Book" w:hAnsi="Avenir Book"/>
        <w:sz w:val="20"/>
        <w:szCs w:val="20"/>
      </w:rPr>
    </w:pPr>
    <w:r w:rsidRPr="00575A0E">
      <w:rPr>
        <w:rFonts w:ascii="Avenir Book" w:hAnsi="Avenir Book"/>
        <w:b/>
        <w:bCs/>
        <w:i/>
        <w:iCs/>
        <w:sz w:val="20"/>
        <w:szCs w:val="20"/>
      </w:rPr>
      <w:t xml:space="preserve">Journal of Gadamer Studies </w:t>
    </w:r>
    <w:r w:rsidRPr="00575A0E">
      <w:rPr>
        <w:rFonts w:ascii="Avenir Book" w:hAnsi="Avenir Book"/>
        <w:sz w:val="20"/>
        <w:szCs w:val="20"/>
      </w:rPr>
      <w:t>1(1) (202</w:t>
    </w:r>
    <w:r w:rsidR="003A65D4">
      <w:rPr>
        <w:rFonts w:ascii="Avenir Book" w:hAnsi="Avenir Book"/>
        <w:sz w:val="20"/>
        <w:szCs w:val="20"/>
      </w:rPr>
      <w:t>6</w:t>
    </w:r>
    <w:r w:rsidRPr="00F7403C">
      <w:rPr>
        <w:rFonts w:ascii="Avenir Book" w:hAnsi="Avenir Book"/>
        <w:sz w:val="20"/>
        <w:szCs w:val="20"/>
      </w:rPr>
      <w:t xml:space="preserve">) </w:t>
    </w:r>
    <w:r w:rsidR="003A65D4">
      <w:rPr>
        <w:rFonts w:ascii="Avenir Book" w:hAnsi="Avenir Book"/>
        <w:sz w:val="20"/>
        <w:szCs w:val="20"/>
      </w:rPr>
      <w:t>28</w:t>
    </w:r>
    <w:r w:rsidRPr="00DD0B28">
      <w:rPr>
        <w:rFonts w:ascii="Avenir Book" w:hAnsi="Avenir Book"/>
        <w:sz w:val="20"/>
        <w:szCs w:val="20"/>
      </w:rPr>
      <w:t>–</w:t>
    </w:r>
    <w:r w:rsidR="003A65D4">
      <w:rPr>
        <w:rFonts w:ascii="Avenir Book" w:hAnsi="Avenir Book"/>
        <w:sz w:val="20"/>
        <w:szCs w:val="20"/>
      </w:rPr>
      <w:t>34</w:t>
    </w:r>
    <w:r w:rsidRPr="00575A0E">
      <w:rPr>
        <w:rFonts w:ascii="Avenir Book" w:hAnsi="Avenir Book"/>
        <w:sz w:val="20"/>
        <w:szCs w:val="20"/>
      </w:rPr>
      <w:tab/>
    </w:r>
    <w:r w:rsidRPr="00575A0E">
      <w:rPr>
        <w:rFonts w:ascii="Avenir Book" w:hAnsi="Avenir Book"/>
        <w:sz w:val="20"/>
        <w:szCs w:val="20"/>
      </w:rPr>
      <w:tab/>
      <w:t xml:space="preserve"> </w:t>
    </w:r>
    <w:r w:rsidR="00F7403C">
      <w:rPr>
        <w:rFonts w:ascii="Avenir Book" w:hAnsi="Avenir Book"/>
        <w:i/>
        <w:iCs/>
        <w:sz w:val="20"/>
        <w:szCs w:val="20"/>
      </w:rPr>
      <w:t>Dostal’s Comments: Event of Meaning</w:t>
    </w:r>
  </w:p>
  <w:p w14:paraId="2BA26B7C" w14:textId="19AD36A4" w:rsidR="00B51346" w:rsidRPr="00575A0E" w:rsidRDefault="00B51346" w:rsidP="00575A0E">
    <w:pPr>
      <w:pStyle w:val="Header"/>
      <w:spacing w:after="480" w:line="240" w:lineRule="auto"/>
      <w:rPr>
        <w:rFonts w:ascii="Avenir Book" w:hAnsi="Avenir Book"/>
        <w:sz w:val="20"/>
        <w:szCs w:val="20"/>
      </w:rPr>
    </w:pPr>
    <w:r w:rsidRPr="00575A0E">
      <w:rPr>
        <w:rFonts w:ascii="Avenir Book" w:hAnsi="Avenir Book"/>
        <w:sz w:val="20"/>
        <w:szCs w:val="20"/>
      </w:rPr>
      <w:t>ISSN: 3069-0242</w:t>
    </w:r>
    <w:r w:rsidRPr="00575A0E">
      <w:rPr>
        <w:rFonts w:ascii="Avenir Book" w:hAnsi="Avenir Book"/>
        <w:sz w:val="20"/>
        <w:szCs w:val="20"/>
      </w:rPr>
      <w:tab/>
    </w:r>
    <w:r w:rsidRPr="00575A0E">
      <w:rPr>
        <w:rFonts w:ascii="Avenir Book" w:hAnsi="Avenir Book"/>
        <w:sz w:val="20"/>
        <w:szCs w:val="20"/>
      </w:rPr>
      <w:tab/>
    </w:r>
    <w:r w:rsidR="00F7403C">
      <w:rPr>
        <w:rFonts w:ascii="Avenir Book" w:hAnsi="Avenir Book"/>
        <w:sz w:val="20"/>
        <w:szCs w:val="20"/>
      </w:rPr>
      <w:t>Dostal</w:t>
    </w:r>
    <w:r w:rsidRPr="00575A0E">
      <w:rPr>
        <w:rFonts w:ascii="Avenir Book" w:hAnsi="Avenir Book"/>
        <w:i/>
        <w:iCs/>
        <w:sz w:val="20"/>
        <w:szCs w:val="20"/>
      </w:rPr>
      <w:t xml:space="preserve"> </w:t>
    </w:r>
  </w:p>
  <w:p w14:paraId="11023AEF" w14:textId="77777777" w:rsidR="00B51346" w:rsidRPr="00575A0E" w:rsidRDefault="00B51346">
    <w:pPr>
      <w:pStyle w:val="Header"/>
      <w:rPr>
        <w:rFonts w:ascii="Avenir Book" w:hAnsi="Avenir Boo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2E30"/>
    <w:multiLevelType w:val="hybridMultilevel"/>
    <w:tmpl w:val="6B38AEA8"/>
    <w:lvl w:ilvl="0" w:tplc="E76CC6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7560300"/>
    <w:multiLevelType w:val="hybridMultilevel"/>
    <w:tmpl w:val="40542B40"/>
    <w:lvl w:ilvl="0" w:tplc="5994E2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8954834">
    <w:abstractNumId w:val="2"/>
  </w:num>
  <w:num w:numId="2" w16cid:durableId="1529172651">
    <w:abstractNumId w:val="1"/>
  </w:num>
  <w:num w:numId="3" w16cid:durableId="1391224339">
    <w:abstractNumId w:val="3"/>
  </w:num>
  <w:num w:numId="4" w16cid:durableId="210726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2E7"/>
    <w:rsid w:val="00003048"/>
    <w:rsid w:val="0001183B"/>
    <w:rsid w:val="00064FD5"/>
    <w:rsid w:val="00065B3C"/>
    <w:rsid w:val="000733C2"/>
    <w:rsid w:val="000E62E7"/>
    <w:rsid w:val="001666A8"/>
    <w:rsid w:val="001F75C2"/>
    <w:rsid w:val="0025325C"/>
    <w:rsid w:val="00270347"/>
    <w:rsid w:val="002A3A88"/>
    <w:rsid w:val="002B1766"/>
    <w:rsid w:val="003A47B8"/>
    <w:rsid w:val="003A65D4"/>
    <w:rsid w:val="0043423A"/>
    <w:rsid w:val="00490E7C"/>
    <w:rsid w:val="00575A0E"/>
    <w:rsid w:val="005E3BFB"/>
    <w:rsid w:val="006915B2"/>
    <w:rsid w:val="006A071F"/>
    <w:rsid w:val="006E6B2B"/>
    <w:rsid w:val="0074762D"/>
    <w:rsid w:val="00753894"/>
    <w:rsid w:val="007B4F91"/>
    <w:rsid w:val="007C713C"/>
    <w:rsid w:val="007D50D7"/>
    <w:rsid w:val="0082524A"/>
    <w:rsid w:val="00926047"/>
    <w:rsid w:val="00933266"/>
    <w:rsid w:val="0095529A"/>
    <w:rsid w:val="009D3E3F"/>
    <w:rsid w:val="009D4950"/>
    <w:rsid w:val="00A00FD4"/>
    <w:rsid w:val="00A84930"/>
    <w:rsid w:val="00B51346"/>
    <w:rsid w:val="00B757DC"/>
    <w:rsid w:val="00BB251E"/>
    <w:rsid w:val="00BE32D9"/>
    <w:rsid w:val="00C15962"/>
    <w:rsid w:val="00C24B33"/>
    <w:rsid w:val="00CA4CD9"/>
    <w:rsid w:val="00D4272A"/>
    <w:rsid w:val="00DD0B28"/>
    <w:rsid w:val="00E85A9F"/>
    <w:rsid w:val="00ED4094"/>
    <w:rsid w:val="00F50642"/>
    <w:rsid w:val="00F7403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17F8B"/>
  <w15:chartTrackingRefBased/>
  <w15:docId w15:val="{AC7825F6-53E2-544B-96A5-072405F6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0E"/>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iPriority w:val="9"/>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uiPriority w:val="9"/>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iPriority w:val="99"/>
    <w:semiHidden/>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uiPriority w:val="99"/>
    <w:semiHidden/>
    <w:rsid w:val="00B5134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table" w:styleId="TableGrid">
    <w:name w:val="Table Grid"/>
    <w:basedOn w:val="TableNormal"/>
    <w:uiPriority w:val="39"/>
    <w:rsid w:val="00575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A0E"/>
    <w:rPr>
      <w:color w:val="605E5C"/>
      <w:shd w:val="clear" w:color="auto" w:fill="E1DFDD"/>
    </w:rPr>
  </w:style>
  <w:style w:type="character" w:customStyle="1" w:styleId="apple-converted-space">
    <w:name w:val="apple-converted-space"/>
    <w:basedOn w:val="DefaultParagraphFont"/>
    <w:rsid w:val="000E62E7"/>
  </w:style>
  <w:style w:type="paragraph" w:styleId="Revision">
    <w:name w:val="Revision"/>
    <w:hidden/>
    <w:uiPriority w:val="99"/>
    <w:semiHidden/>
    <w:rsid w:val="0074762D"/>
    <w:pPr>
      <w:spacing w:after="0" w:line="240" w:lineRule="auto"/>
    </w:pPr>
  </w:style>
  <w:style w:type="character" w:styleId="CommentReference">
    <w:name w:val="annotation reference"/>
    <w:basedOn w:val="DefaultParagraphFont"/>
    <w:uiPriority w:val="99"/>
    <w:semiHidden/>
    <w:unhideWhenUsed/>
    <w:rsid w:val="000733C2"/>
    <w:rPr>
      <w:sz w:val="16"/>
      <w:szCs w:val="16"/>
    </w:rPr>
  </w:style>
  <w:style w:type="paragraph" w:styleId="CommentText">
    <w:name w:val="annotation text"/>
    <w:basedOn w:val="Normal"/>
    <w:link w:val="CommentTextChar"/>
    <w:uiPriority w:val="99"/>
    <w:semiHidden/>
    <w:unhideWhenUsed/>
    <w:rsid w:val="000733C2"/>
    <w:pPr>
      <w:spacing w:line="240" w:lineRule="auto"/>
    </w:pPr>
    <w:rPr>
      <w:sz w:val="20"/>
      <w:szCs w:val="20"/>
    </w:rPr>
  </w:style>
  <w:style w:type="character" w:customStyle="1" w:styleId="CommentTextChar">
    <w:name w:val="Comment Text Char"/>
    <w:basedOn w:val="DefaultParagraphFont"/>
    <w:link w:val="CommentText"/>
    <w:uiPriority w:val="99"/>
    <w:semiHidden/>
    <w:rsid w:val="000733C2"/>
    <w:rPr>
      <w:sz w:val="20"/>
      <w:szCs w:val="20"/>
    </w:rPr>
  </w:style>
  <w:style w:type="paragraph" w:styleId="CommentSubject">
    <w:name w:val="annotation subject"/>
    <w:basedOn w:val="CommentText"/>
    <w:next w:val="CommentText"/>
    <w:link w:val="CommentSubjectChar"/>
    <w:uiPriority w:val="99"/>
    <w:semiHidden/>
    <w:unhideWhenUsed/>
    <w:rsid w:val="000733C2"/>
    <w:rPr>
      <w:b/>
      <w:bCs/>
    </w:rPr>
  </w:style>
  <w:style w:type="character" w:customStyle="1" w:styleId="CommentSubjectChar">
    <w:name w:val="Comment Subject Char"/>
    <w:basedOn w:val="CommentTextChar"/>
    <w:link w:val="CommentSubject"/>
    <w:uiPriority w:val="99"/>
    <w:semiHidden/>
    <w:rsid w:val="000733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i.org/10.21423/r6dyhn0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rcid.org/0000-0002-1209-916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n/Library/Group%20Containers/UBF8T346G9.Office/User%20Content.localized/Templates.localized/Journal%20of%20Gadamer%20Studies%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Journal of Gadamer Studies Template.dotx</Template>
  <TotalTime>66</TotalTime>
  <Pages>7</Pages>
  <Words>2080</Words>
  <Characters>10675</Characters>
  <Application>Microsoft Office Word</Application>
  <DocSecurity>0</DocSecurity>
  <Lines>177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17</cp:revision>
  <dcterms:created xsi:type="dcterms:W3CDTF">2025-11-28T22:27:00Z</dcterms:created>
  <dcterms:modified xsi:type="dcterms:W3CDTF">2025-12-28T15:44:00Z</dcterms:modified>
</cp:coreProperties>
</file>