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3530" w14:textId="77777777" w:rsidR="005F1BAF" w:rsidRPr="00EF7EAE" w:rsidRDefault="005F1BAF" w:rsidP="005F1BAF">
      <w:pPr>
        <w:pStyle w:val="Body"/>
        <w:spacing w:line="240" w:lineRule="auto"/>
        <w:ind w:firstLine="547"/>
        <w:jc w:val="center"/>
        <w:rPr>
          <w:rFonts w:ascii="Avenir Book" w:hAnsi="Avenir Book"/>
          <w:b/>
          <w:bCs/>
          <w:color w:val="000000" w:themeColor="text1"/>
          <w:sz w:val="36"/>
          <w:szCs w:val="36"/>
        </w:rPr>
      </w:pPr>
      <w:r w:rsidRPr="00EF7EAE">
        <w:rPr>
          <w:rFonts w:ascii="Avenir Book" w:hAnsi="Avenir Book"/>
          <w:b/>
          <w:bCs/>
          <w:color w:val="000000" w:themeColor="text1"/>
          <w:sz w:val="36"/>
          <w:szCs w:val="36"/>
        </w:rPr>
        <w:t>The Distances in Which We Live:</w:t>
      </w:r>
    </w:p>
    <w:p w14:paraId="78B524C0" w14:textId="0CAED430" w:rsidR="00214EF7" w:rsidRDefault="005F1BAF" w:rsidP="00990262">
      <w:pPr>
        <w:pStyle w:val="Body"/>
        <w:spacing w:line="240" w:lineRule="auto"/>
        <w:ind w:firstLine="547"/>
        <w:jc w:val="center"/>
        <w:rPr>
          <w:rFonts w:ascii="Avenir Book" w:hAnsi="Avenir Book"/>
          <w:b/>
          <w:bCs/>
          <w:color w:val="000000" w:themeColor="text1"/>
          <w:sz w:val="36"/>
          <w:szCs w:val="36"/>
        </w:rPr>
      </w:pPr>
      <w:r w:rsidRPr="00EF7EAE">
        <w:rPr>
          <w:rFonts w:ascii="Avenir Book" w:hAnsi="Avenir Book"/>
          <w:b/>
          <w:bCs/>
          <w:color w:val="000000" w:themeColor="text1"/>
          <w:sz w:val="36"/>
          <w:szCs w:val="36"/>
        </w:rPr>
        <w:t>Towards a Hermeneutics of Prayer</w:t>
      </w:r>
    </w:p>
    <w:p w14:paraId="40E49E21" w14:textId="77777777" w:rsidR="00990262" w:rsidRPr="00990262" w:rsidRDefault="00990262" w:rsidP="00990262">
      <w:pPr>
        <w:pStyle w:val="Body"/>
        <w:spacing w:line="240" w:lineRule="auto"/>
        <w:ind w:firstLine="547"/>
        <w:jc w:val="center"/>
        <w:rPr>
          <w:rFonts w:ascii="Avenir Book" w:hAnsi="Avenir Book"/>
          <w:b/>
          <w:bCs/>
          <w:color w:val="000000" w:themeColor="text1"/>
          <w:sz w:val="36"/>
          <w:szCs w:val="36"/>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350"/>
      </w:tblGrid>
      <w:tr w:rsidR="001904D6" w:rsidRPr="00723610" w14:paraId="56B6A4F8" w14:textId="77777777" w:rsidTr="00F93BDA">
        <w:tc>
          <w:tcPr>
            <w:tcW w:w="9350" w:type="dxa"/>
          </w:tcPr>
          <w:p w14:paraId="5E3091EB" w14:textId="77777777" w:rsidR="001904D6" w:rsidRPr="001904D6" w:rsidRDefault="001904D6" w:rsidP="001904D6">
            <w:pPr>
              <w:spacing w:before="120" w:after="0" w:line="240" w:lineRule="auto"/>
              <w:jc w:val="center"/>
              <w:rPr>
                <w:rFonts w:ascii="Avenir Book" w:eastAsiaTheme="majorEastAsia" w:hAnsi="Avenir Book" w:cstheme="majorBidi"/>
                <w:b/>
                <w:bCs/>
                <w:color w:val="000000" w:themeColor="text1"/>
                <w:sz w:val="24"/>
                <w:szCs w:val="24"/>
              </w:rPr>
            </w:pPr>
            <w:r w:rsidRPr="001904D6">
              <w:rPr>
                <w:rFonts w:ascii="Avenir Book" w:eastAsiaTheme="majorEastAsia" w:hAnsi="Avenir Book" w:cstheme="majorBidi"/>
                <w:b/>
                <w:bCs/>
                <w:color w:val="000000" w:themeColor="text1"/>
                <w:sz w:val="24"/>
                <w:szCs w:val="24"/>
              </w:rPr>
              <w:t>Nicholas Davey</w:t>
            </w:r>
          </w:p>
          <w:p w14:paraId="7F35FDE5" w14:textId="77777777" w:rsidR="001904D6" w:rsidRDefault="001904D6" w:rsidP="00990262">
            <w:pPr>
              <w:spacing w:after="0" w:line="240" w:lineRule="auto"/>
              <w:jc w:val="center"/>
              <w:rPr>
                <w:rFonts w:ascii="Avenir Book" w:hAnsi="Avenir Book"/>
                <w:sz w:val="24"/>
                <w:szCs w:val="24"/>
              </w:rPr>
            </w:pPr>
            <w:r w:rsidRPr="001904D6">
              <w:rPr>
                <w:rFonts w:ascii="Avenir Book" w:hAnsi="Avenir Book"/>
                <w:color w:val="000000" w:themeColor="text1"/>
                <w:sz w:val="24"/>
                <w:szCs w:val="24"/>
              </w:rPr>
              <w:t>University of Dundee</w:t>
            </w:r>
            <w:r w:rsidRPr="001904D6">
              <w:rPr>
                <w:rFonts w:ascii="Avenir Book" w:hAnsi="Avenir Book"/>
                <w:color w:val="000000" w:themeColor="text1"/>
                <w:sz w:val="24"/>
                <w:szCs w:val="24"/>
              </w:rPr>
              <w:br/>
            </w:r>
            <w:hyperlink r:id="rId7" w:history="1">
              <w:r w:rsidRPr="00714830">
                <w:rPr>
                  <w:rStyle w:val="Hyperlink"/>
                  <w:rFonts w:ascii="Avenir Book" w:hAnsi="Avenir Book"/>
                  <w:sz w:val="24"/>
                  <w:szCs w:val="24"/>
                </w:rPr>
                <w:t>j.r.n.davey@dundee.ac.uk</w:t>
              </w:r>
            </w:hyperlink>
          </w:p>
          <w:p w14:paraId="624B574F" w14:textId="77777777" w:rsidR="00096B3F" w:rsidRDefault="00096B3F" w:rsidP="00990262">
            <w:pPr>
              <w:spacing w:after="0" w:line="240" w:lineRule="auto"/>
              <w:jc w:val="center"/>
              <w:rPr>
                <w:rFonts w:ascii="Avenir Book" w:hAnsi="Avenir Book"/>
                <w:sz w:val="24"/>
                <w:szCs w:val="24"/>
              </w:rPr>
            </w:pPr>
          </w:p>
          <w:p w14:paraId="33F3D7CA" w14:textId="25974917" w:rsidR="00990262" w:rsidRPr="00714830" w:rsidRDefault="00990262" w:rsidP="00990262">
            <w:pPr>
              <w:pStyle w:val="Heading3"/>
              <w:spacing w:before="0" w:after="240"/>
              <w:jc w:val="center"/>
              <w:rPr>
                <w:rFonts w:ascii="Avenir Book" w:hAnsi="Avenir Book"/>
                <w:b w:val="0"/>
                <w:bCs w:val="0"/>
                <w:sz w:val="20"/>
                <w:szCs w:val="20"/>
              </w:rPr>
            </w:pPr>
            <w:r w:rsidRPr="00714830">
              <w:rPr>
                <w:rFonts w:ascii="Avenir Book" w:hAnsi="Avenir Book"/>
                <w:b w:val="0"/>
                <w:bCs w:val="0"/>
                <w:sz w:val="20"/>
                <w:szCs w:val="20"/>
              </w:rPr>
              <w:t xml:space="preserve">ORCID: </w:t>
            </w:r>
            <w:hyperlink r:id="rId8" w:tgtFrame="_blank" w:history="1">
              <w:r w:rsidRPr="00714830">
                <w:rPr>
                  <w:rStyle w:val="Hyperlink"/>
                  <w:rFonts w:ascii="Avenir Book" w:hAnsi="Avenir Book"/>
                  <w:b w:val="0"/>
                  <w:bCs w:val="0"/>
                  <w:sz w:val="20"/>
                  <w:szCs w:val="20"/>
                </w:rPr>
                <w:t>https://orcid.org/0000-0002=5728-2198</w:t>
              </w:r>
            </w:hyperlink>
          </w:p>
          <w:p w14:paraId="24F7EFC8" w14:textId="4814F018" w:rsidR="00990262" w:rsidRPr="001904D6" w:rsidRDefault="00990262" w:rsidP="00990262">
            <w:pPr>
              <w:spacing w:before="240" w:after="240" w:line="240" w:lineRule="auto"/>
              <w:jc w:val="right"/>
              <w:rPr>
                <w:rFonts w:ascii="Avenir Book" w:hAnsi="Avenir Book"/>
                <w:color w:val="000000" w:themeColor="text1"/>
                <w:sz w:val="20"/>
                <w:szCs w:val="20"/>
              </w:rPr>
            </w:pPr>
            <w:r w:rsidRPr="00723610">
              <w:rPr>
                <w:rFonts w:ascii="Avenir Book" w:hAnsi="Avenir Book"/>
                <w:i/>
                <w:iCs/>
                <w:color w:val="000000" w:themeColor="text1"/>
                <w:sz w:val="20"/>
                <w:szCs w:val="20"/>
              </w:rPr>
              <w:t>Perhaps the most important things we know cannot be proven</w:t>
            </w:r>
            <w:r w:rsidRPr="00723610">
              <w:rPr>
                <w:rFonts w:ascii="Avenir Book" w:hAnsi="Avenir Book"/>
                <w:i/>
                <w:iCs/>
                <w:color w:val="000000" w:themeColor="text1"/>
                <w:sz w:val="20"/>
                <w:szCs w:val="20"/>
              </w:rPr>
              <w:br/>
            </w:r>
            <w:r w:rsidRPr="00723610">
              <w:rPr>
                <w:rFonts w:ascii="Avenir Book" w:hAnsi="Avenir Book"/>
                <w:color w:val="000000" w:themeColor="text1"/>
                <w:sz w:val="20"/>
                <w:szCs w:val="20"/>
              </w:rPr>
              <w:t>––Anne Michaels,</w:t>
            </w:r>
            <w:r w:rsidRPr="00723610">
              <w:rPr>
                <w:rFonts w:ascii="Avenir Book" w:hAnsi="Avenir Book"/>
                <w:i/>
                <w:iCs/>
                <w:color w:val="000000" w:themeColor="text1"/>
                <w:sz w:val="20"/>
                <w:szCs w:val="20"/>
              </w:rPr>
              <w:t xml:space="preserve"> Held</w:t>
            </w:r>
            <w:r w:rsidRPr="00723610">
              <w:rPr>
                <w:rFonts w:ascii="Avenir Book" w:hAnsi="Avenir Book"/>
                <w:color w:val="000000" w:themeColor="text1"/>
                <w:sz w:val="20"/>
                <w:szCs w:val="20"/>
              </w:rPr>
              <w:t xml:space="preserve"> (Bloomsbury, 2023), p.4</w:t>
            </w:r>
          </w:p>
        </w:tc>
      </w:tr>
      <w:tr w:rsidR="00575A0E" w:rsidRPr="00723610" w14:paraId="343F5B5B" w14:textId="77777777" w:rsidTr="005F1673">
        <w:tc>
          <w:tcPr>
            <w:tcW w:w="9350" w:type="dxa"/>
          </w:tcPr>
          <w:p w14:paraId="37E3ABB7" w14:textId="6F7E9CDD" w:rsidR="00575A0E" w:rsidRPr="00723610" w:rsidRDefault="00575A0E" w:rsidP="001904D6">
            <w:pPr>
              <w:pStyle w:val="Heading3"/>
              <w:spacing w:before="0" w:after="120"/>
              <w:rPr>
                <w:rFonts w:ascii="Avenir Book" w:hAnsi="Avenir Book"/>
                <w:b w:val="0"/>
                <w:bCs w:val="0"/>
                <w:sz w:val="20"/>
                <w:szCs w:val="20"/>
              </w:rPr>
            </w:pPr>
            <w:r w:rsidRPr="004C266D">
              <w:rPr>
                <w:rFonts w:ascii="Avenir Book" w:hAnsi="Avenir Book"/>
                <w:b w:val="0"/>
                <w:bCs w:val="0"/>
                <w:sz w:val="20"/>
                <w:szCs w:val="20"/>
              </w:rPr>
              <w:t xml:space="preserve">DOI: </w:t>
            </w:r>
            <w:hyperlink r:id="rId9" w:history="1">
              <w:r w:rsidR="00E850F3" w:rsidRPr="004C266D">
                <w:rPr>
                  <w:rStyle w:val="Hyperlink"/>
                  <w:rFonts w:ascii="Avenir Book" w:hAnsi="Avenir Book"/>
                  <w:b w:val="0"/>
                  <w:bCs w:val="0"/>
                  <w:sz w:val="20"/>
                  <w:szCs w:val="20"/>
                </w:rPr>
                <w:t xml:space="preserve">https://doi.org/10.21423/y7068w74 </w:t>
              </w:r>
            </w:hyperlink>
          </w:p>
        </w:tc>
      </w:tr>
    </w:tbl>
    <w:p w14:paraId="7DA07DA8" w14:textId="77777777" w:rsidR="00575A0E" w:rsidRPr="00723610" w:rsidRDefault="00575A0E" w:rsidP="00575A0E">
      <w:pPr>
        <w:pStyle w:val="Heading3"/>
        <w:spacing w:before="360" w:after="200"/>
        <w:rPr>
          <w:rFonts w:ascii="Avenir Book" w:hAnsi="Avenir Book"/>
          <w:color w:val="000000" w:themeColor="text1"/>
        </w:rPr>
      </w:pPr>
      <w:r w:rsidRPr="00723610">
        <w:rPr>
          <w:rFonts w:ascii="Avenir Book" w:hAnsi="Avenir Book"/>
          <w:color w:val="000000" w:themeColor="text1"/>
        </w:rPr>
        <w:t>Abstract</w:t>
      </w:r>
    </w:p>
    <w:p w14:paraId="0CB8E8F0" w14:textId="77777777" w:rsidR="007768E4" w:rsidRPr="002E7694" w:rsidRDefault="007768E4" w:rsidP="007768E4">
      <w:pPr>
        <w:pStyle w:val="Body2"/>
        <w:rPr>
          <w:rFonts w:ascii="Avenir Book" w:hAnsi="Avenir Book"/>
          <w:color w:val="000000" w:themeColor="text1"/>
          <w:sz w:val="22"/>
          <w:szCs w:val="22"/>
        </w:rPr>
      </w:pPr>
      <w:r w:rsidRPr="002E7694">
        <w:rPr>
          <w:rFonts w:ascii="Avenir Book" w:hAnsi="Avenir Book"/>
          <w:color w:val="000000" w:themeColor="text1"/>
          <w:sz w:val="22"/>
          <w:szCs w:val="22"/>
        </w:rPr>
        <w:t xml:space="preserve">This essay deploys the insights of philosophical hermeneutics to approach a better understanding of the practice of prayer and its effects. Its arguments have a dual purpose: to achieve a wider appreciation of the disclosive powers both of prayerful practice and of philosophical hermeneutics as a phenomenological investigation into the revelatory powers of human experience. Our arguments assume the importance of prayer as a phenomenological occurrence. The essay offers a focus on the structural elements of such experience and does not presume to provide a hermeneutical analysis of the role of prayer in religious liturgies whether they be Christian or Buddhist. Our attention is on something more fundamental––i.e., an experience of opening, which, though it may be initiated and nuanced by given liturgical practices, nevertheless precedes them ontologically. This central concern with opening involves, we argue, experiencing a poignant shift of orientation, a shift that is not to do with religious practice alone since it is also a feature of literary, musical, and visual aesthetics. </w:t>
      </w:r>
      <w:proofErr w:type="gramStart"/>
      <w:r w:rsidRPr="002E7694">
        <w:rPr>
          <w:rFonts w:ascii="Avenir Book" w:hAnsi="Avenir Book"/>
          <w:color w:val="000000" w:themeColor="text1"/>
          <w:sz w:val="22"/>
          <w:szCs w:val="22"/>
        </w:rPr>
        <w:t>With regard to</w:t>
      </w:r>
      <w:proofErr w:type="gramEnd"/>
      <w:r w:rsidRPr="002E7694">
        <w:rPr>
          <w:rFonts w:ascii="Avenir Book" w:hAnsi="Avenir Book"/>
          <w:color w:val="000000" w:themeColor="text1"/>
          <w:sz w:val="22"/>
          <w:szCs w:val="22"/>
        </w:rPr>
        <w:t xml:space="preserve"> such a transformational shift, it is frequently overlooked that coming to understand a subject-matter is less to do with achieving an endpoint but more with a direct experience of transition. </w:t>
      </w:r>
    </w:p>
    <w:p w14:paraId="06829B3D" w14:textId="05CB329F" w:rsidR="00575A0E" w:rsidRPr="00723610" w:rsidRDefault="00575A0E" w:rsidP="00575A0E">
      <w:pPr>
        <w:pBdr>
          <w:bottom w:val="single" w:sz="6" w:space="1" w:color="auto"/>
        </w:pBdr>
        <w:spacing w:before="120" w:after="200"/>
        <w:rPr>
          <w:rFonts w:ascii="Avenir Book" w:hAnsi="Avenir Book"/>
          <w:color w:val="000000" w:themeColor="text1"/>
        </w:rPr>
      </w:pPr>
      <w:r w:rsidRPr="00723610">
        <w:rPr>
          <w:rFonts w:ascii="Avenir Book" w:hAnsi="Avenir Book"/>
          <w:b/>
          <w:bCs/>
          <w:color w:val="000000" w:themeColor="text1"/>
          <w:sz w:val="24"/>
          <w:szCs w:val="24"/>
        </w:rPr>
        <w:t>Keywords:</w:t>
      </w:r>
      <w:r w:rsidRPr="00723610">
        <w:rPr>
          <w:rFonts w:ascii="Avenir Book" w:hAnsi="Avenir Book"/>
          <w:b/>
          <w:bCs/>
          <w:color w:val="000000" w:themeColor="text1"/>
        </w:rPr>
        <w:t xml:space="preserve"> </w:t>
      </w:r>
      <w:r w:rsidR="007768E4" w:rsidRPr="00723610">
        <w:rPr>
          <w:rFonts w:ascii="Avenir Book" w:hAnsi="Avenir Book"/>
          <w:color w:val="000000" w:themeColor="text1"/>
        </w:rPr>
        <w:t>Hermeneutic differential, ontological openings, language-being</w:t>
      </w:r>
      <w:r w:rsidR="007768E4" w:rsidRPr="00723610">
        <w:rPr>
          <w:rFonts w:ascii="Avenir Book" w:hAnsi="Avenir Book"/>
          <w:i/>
          <w:iCs/>
          <w:color w:val="000000" w:themeColor="text1"/>
        </w:rPr>
        <w:t xml:space="preserve">, </w:t>
      </w:r>
      <w:r w:rsidR="007768E4" w:rsidRPr="00723610">
        <w:rPr>
          <w:rFonts w:ascii="Avenir Book" w:hAnsi="Avenir Book"/>
          <w:color w:val="000000" w:themeColor="text1"/>
        </w:rPr>
        <w:t>language act, linguistic consciousness, philosophical hermeneutics, prayer, speculative horizon</w:t>
      </w:r>
      <w:r w:rsidR="007768E4" w:rsidRPr="00723610">
        <w:rPr>
          <w:rFonts w:ascii="Avenir Book" w:hAnsi="Avenir Book"/>
          <w:i/>
          <w:iCs/>
          <w:color w:val="000000" w:themeColor="text1"/>
        </w:rPr>
        <w:t xml:space="preserve"> </w:t>
      </w:r>
    </w:p>
    <w:p w14:paraId="5B8A2091" w14:textId="322D5A29" w:rsidR="00B51346" w:rsidRPr="00723610" w:rsidRDefault="007768E4" w:rsidP="00B51346">
      <w:pPr>
        <w:pStyle w:val="Heading2"/>
        <w:spacing w:after="200"/>
        <w:rPr>
          <w:rFonts w:ascii="Avenir Book" w:hAnsi="Avenir Book"/>
          <w:color w:val="000000" w:themeColor="text1"/>
        </w:rPr>
      </w:pPr>
      <w:r w:rsidRPr="00723610">
        <w:rPr>
          <w:rFonts w:ascii="Avenir Book" w:hAnsi="Avenir Book"/>
          <w:color w:val="000000" w:themeColor="text1"/>
        </w:rPr>
        <w:lastRenderedPageBreak/>
        <w:t>Introduction</w:t>
      </w:r>
    </w:p>
    <w:p w14:paraId="76AD7B5F" w14:textId="379C450A" w:rsidR="00A43704" w:rsidRPr="00723610" w:rsidRDefault="00A43704" w:rsidP="00A43704">
      <w:pPr>
        <w:ind w:firstLine="720"/>
        <w:rPr>
          <w:rFonts w:ascii="Avenir Book" w:hAnsi="Avenir Book"/>
          <w:color w:val="000000" w:themeColor="text1"/>
        </w:rPr>
      </w:pPr>
      <w:r w:rsidRPr="00723610">
        <w:rPr>
          <w:rFonts w:ascii="Avenir Book" w:hAnsi="Avenir Book"/>
          <w:color w:val="000000" w:themeColor="text1"/>
        </w:rPr>
        <w:t xml:space="preserve">The genuine merit of a philosophical orientation can be judged by the light it throws on questions it does not initially seek to address. The relation of philosophical hermeneutics to the question of how we should understand prayer is a case in point. Though Gadamer’s hermeneutics does not specifically concern itself with matters of religious experience, its pre-occupation with matters of meaningful experience and language-ontology provides conceptual tools extraordinarily well suited to unravelling the experience of prayer with its underlying ontological entailments. This unravelling is one of transformative reciprocation: the disclosure of prayer’s hermeneutical elements reveals the spiritual dimensions within philosophical hermeneutics. By applying key aspects of philosophical hermeneutics to the question of prayer, this presentation will both honor and celebrate their efficacy in bringing us to a better understanding of one of the most grounding of human experiences. </w:t>
      </w:r>
    </w:p>
    <w:p w14:paraId="7862E258" w14:textId="77777777" w:rsidR="00A43704" w:rsidRPr="00723610" w:rsidRDefault="00A43704" w:rsidP="00A43704">
      <w:pPr>
        <w:ind w:firstLine="720"/>
        <w:rPr>
          <w:rFonts w:ascii="Avenir Book" w:hAnsi="Avenir Book"/>
          <w:color w:val="000000" w:themeColor="text1"/>
        </w:rPr>
      </w:pPr>
      <w:r w:rsidRPr="00723610">
        <w:rPr>
          <w:rFonts w:ascii="Avenir Book" w:hAnsi="Avenir Book"/>
          <w:color w:val="000000" w:themeColor="text1"/>
        </w:rPr>
        <w:t xml:space="preserve">This essay deploys the insights of philosophical hermeneutics to achieve a better understanding of the practice of prayer and its effects. Its outcome will be twofold, achieving an appreciation </w:t>
      </w:r>
      <w:proofErr w:type="gramStart"/>
      <w:r w:rsidRPr="00723610">
        <w:rPr>
          <w:rFonts w:ascii="Avenir Book" w:hAnsi="Avenir Book"/>
          <w:color w:val="000000" w:themeColor="text1"/>
        </w:rPr>
        <w:t>both of the disclosive</w:t>
      </w:r>
      <w:proofErr w:type="gramEnd"/>
      <w:r w:rsidRPr="00723610">
        <w:rPr>
          <w:rFonts w:ascii="Avenir Book" w:hAnsi="Avenir Book"/>
          <w:color w:val="000000" w:themeColor="text1"/>
        </w:rPr>
        <w:t xml:space="preserve"> powers of prayerful practice and of philosophical hermeneutics as an investigation into the revelatory powers of human experience. Our argument assumes the importance of prayer as a phenomenological occurrence. Its focus is on the structure of such experience and does not presume to offer a hermeneutical analysis of the role of prayer in religious liturgies whether they be Christian or Buddhist. Our attention is on something more fundamental––i.e., an experience of opening, which, though it may be initiated and nuanced by given liturgical practices, nevertheless precedes them ontologically. This leading concern with opening involves </w:t>
      </w:r>
      <w:r w:rsidRPr="00723610">
        <w:rPr>
          <w:rFonts w:ascii="Avenir Book" w:hAnsi="Avenir Book"/>
          <w:i/>
          <w:iCs/>
          <w:color w:val="000000" w:themeColor="text1"/>
        </w:rPr>
        <w:t>experiencing a shift of orientation</w:t>
      </w:r>
      <w:r w:rsidRPr="00723610">
        <w:rPr>
          <w:rFonts w:ascii="Avenir Book" w:hAnsi="Avenir Book"/>
          <w:color w:val="000000" w:themeColor="text1"/>
        </w:rPr>
        <w:t xml:space="preserve">, a shift that is not to do with religious practice alone since it is also a feature of literary, musical and visual aesthetics. </w:t>
      </w:r>
      <w:proofErr w:type="gramStart"/>
      <w:r w:rsidRPr="00723610">
        <w:rPr>
          <w:rFonts w:ascii="Avenir Book" w:hAnsi="Avenir Book"/>
          <w:color w:val="000000" w:themeColor="text1"/>
        </w:rPr>
        <w:t>With regard to</w:t>
      </w:r>
      <w:proofErr w:type="gramEnd"/>
      <w:r w:rsidRPr="00723610">
        <w:rPr>
          <w:rFonts w:ascii="Avenir Book" w:hAnsi="Avenir Book"/>
          <w:color w:val="000000" w:themeColor="text1"/>
        </w:rPr>
        <w:t xml:space="preserve"> such shifts, it is frequently overlooked that coming to understand a subject-matter is less to do with achieving some endpoint but more to do with </w:t>
      </w:r>
      <w:r w:rsidRPr="00723610">
        <w:rPr>
          <w:rFonts w:ascii="Avenir Book" w:hAnsi="Avenir Book"/>
          <w:i/>
          <w:iCs/>
          <w:color w:val="000000" w:themeColor="text1"/>
        </w:rPr>
        <w:t>an experience of transition</w:t>
      </w:r>
      <w:r w:rsidRPr="00723610">
        <w:rPr>
          <w:rFonts w:ascii="Avenir Book" w:hAnsi="Avenir Book"/>
          <w:color w:val="000000" w:themeColor="text1"/>
        </w:rPr>
        <w:t xml:space="preserve">. </w:t>
      </w:r>
      <w:r w:rsidRPr="00723610">
        <w:rPr>
          <w:rFonts w:ascii="Avenir Book" w:hAnsi="Avenir Book"/>
          <w:i/>
          <w:iCs/>
          <w:color w:val="000000" w:themeColor="text1"/>
        </w:rPr>
        <w:t>Hermeneutical understanding involves an experience of movement</w:t>
      </w:r>
      <w:r w:rsidRPr="00723610">
        <w:rPr>
          <w:rFonts w:ascii="Avenir Book" w:hAnsi="Avenir Book"/>
          <w:color w:val="000000" w:themeColor="text1"/>
        </w:rPr>
        <w:t xml:space="preserve"> or, to be more specific, an experience of </w:t>
      </w:r>
      <w:r w:rsidRPr="00723610">
        <w:rPr>
          <w:rFonts w:ascii="Avenir Book" w:hAnsi="Avenir Book"/>
          <w:i/>
          <w:iCs/>
          <w:color w:val="000000" w:themeColor="text1"/>
        </w:rPr>
        <w:t>being moved</w:t>
      </w:r>
      <w:r w:rsidRPr="00723610">
        <w:rPr>
          <w:rFonts w:ascii="Avenir Book" w:hAnsi="Avenir Book"/>
          <w:color w:val="000000" w:themeColor="text1"/>
        </w:rPr>
        <w:t xml:space="preserve"> cognitively and emotionally: it involves a being moved on in our understanding. This experience is, of course, complex and multiple faceted. When, for example, I am drawn into a meditational involvement with a painting and come to see an image in new and surprising ways, I am also brought to see two other aspects of that image. First, </w:t>
      </w:r>
      <w:proofErr w:type="gramStart"/>
      <w:r w:rsidRPr="00723610">
        <w:rPr>
          <w:rFonts w:ascii="Avenir Book" w:hAnsi="Avenir Book"/>
          <w:color w:val="000000" w:themeColor="text1"/>
        </w:rPr>
        <w:t>as a result of</w:t>
      </w:r>
      <w:proofErr w:type="gramEnd"/>
      <w:r w:rsidRPr="00723610">
        <w:rPr>
          <w:rFonts w:ascii="Avenir Book" w:hAnsi="Avenir Book"/>
          <w:color w:val="000000" w:themeColor="text1"/>
        </w:rPr>
        <w:t xml:space="preserve"> the differential space that opens between what I now see and what I saw before, I am brought to the realization that my seeing has both moved-on and in so doing has overcome some of its previous limitations. Second, coming to see more of a certain visual subject-matter brings an awareness that there is, indeed, yet more to see and that the journey of my understanding is already traveling towards the unforeseen. The claim of this essay is that </w:t>
      </w:r>
      <w:r w:rsidRPr="00723610">
        <w:rPr>
          <w:rFonts w:ascii="Avenir Book" w:hAnsi="Avenir Book"/>
          <w:color w:val="000000" w:themeColor="text1"/>
        </w:rPr>
        <w:lastRenderedPageBreak/>
        <w:t xml:space="preserve">prayerful practice initiates just such an experience of movement. This experience entails a controlled suspension of the customary fixities of association between word, thing and meaning, fixities which are normally established in the interests of everyday pragmatics. In Kantian terms, this suspension permits the imagination to enter-free play </w:t>
      </w:r>
      <w:proofErr w:type="gramStart"/>
      <w:r w:rsidRPr="00723610">
        <w:rPr>
          <w:rFonts w:ascii="Avenir Book" w:hAnsi="Avenir Book"/>
          <w:color w:val="000000" w:themeColor="text1"/>
        </w:rPr>
        <w:t>in order to</w:t>
      </w:r>
      <w:proofErr w:type="gramEnd"/>
      <w:r w:rsidRPr="00723610">
        <w:rPr>
          <w:rFonts w:ascii="Avenir Book" w:hAnsi="Avenir Book"/>
          <w:color w:val="000000" w:themeColor="text1"/>
        </w:rPr>
        <w:t xml:space="preserve"> build new and unexpected relations between words and things. For Kant such activity is essentially private (for subjectivity alone), for Heidegger and Gadamer it is a matter of our becoming open to the free play or spontaneous disclosures of Being itself. The movement of understanding becomes a question of being both attentive to and engaging with the autonomous disclosures of Being. The practice of being prayerful, we shall argue, is a preparing for, involves an opening towards and a becoming receptive to what is, in hermeneutical terms, the numinous world of language-being, a transcendent that is both within us and beyond us. </w:t>
      </w:r>
    </w:p>
    <w:p w14:paraId="63851CFC" w14:textId="04924D79" w:rsidR="00A43704" w:rsidRPr="00723610" w:rsidRDefault="00A43704" w:rsidP="00A43704">
      <w:pPr>
        <w:ind w:firstLine="720"/>
        <w:rPr>
          <w:rFonts w:ascii="Avenir Book" w:hAnsi="Avenir Book"/>
          <w:color w:val="000000" w:themeColor="text1"/>
        </w:rPr>
      </w:pPr>
      <w:r w:rsidRPr="00723610">
        <w:rPr>
          <w:rFonts w:ascii="Avenir Book" w:hAnsi="Avenir Book"/>
          <w:color w:val="000000" w:themeColor="text1"/>
        </w:rPr>
        <w:t xml:space="preserve">The burden of our argument about prayerful activity is, then, one of recovery and de-mystification. The demise of institutional religion and its otherworldly commitments should not lead to the devaluing of meditational and prayerful practices. Their value needs deconstructing </w:t>
      </w:r>
      <w:proofErr w:type="gramStart"/>
      <w:r w:rsidRPr="00723610">
        <w:rPr>
          <w:rFonts w:ascii="Avenir Book" w:hAnsi="Avenir Book"/>
          <w:color w:val="000000" w:themeColor="text1"/>
        </w:rPr>
        <w:t>in order to</w:t>
      </w:r>
      <w:proofErr w:type="gramEnd"/>
      <w:r w:rsidRPr="00723610">
        <w:rPr>
          <w:rFonts w:ascii="Avenir Book" w:hAnsi="Avenir Book"/>
          <w:color w:val="000000" w:themeColor="text1"/>
        </w:rPr>
        <w:t xml:space="preserve"> be re-appropriated as means to expropriating the phenomenological experience of the transcendent within the lived world. Our argument will shift the prayerful away from familiar religious contexts and suggest that such practice transcends the religious per se because it concerns above all a sharpening and a quickening of conscious life and of what comes to life in consciousness. The spiritual is not something exotic or dispensable but is fundamental to our experience of being. The movements of attentiveness are, indeed, not matters of religious disposition alone but are foundational to how existence and the character of being discloses itself through language, art, and music.</w:t>
      </w:r>
    </w:p>
    <w:p w14:paraId="5CE40526" w14:textId="753DD8FA" w:rsidR="00A25CDB" w:rsidRPr="00723610" w:rsidRDefault="00A25CDB" w:rsidP="00A25CDB">
      <w:pPr>
        <w:pStyle w:val="ListParagraph"/>
        <w:numPr>
          <w:ilvl w:val="0"/>
          <w:numId w:val="3"/>
        </w:numPr>
        <w:rPr>
          <w:rFonts w:ascii="Avenir Book" w:eastAsiaTheme="majorEastAsia" w:hAnsi="Avenir Book" w:cstheme="majorBidi"/>
          <w:b/>
          <w:bCs/>
          <w:color w:val="000000" w:themeColor="text1"/>
          <w:sz w:val="28"/>
          <w:szCs w:val="26"/>
        </w:rPr>
      </w:pPr>
      <w:r w:rsidRPr="00723610">
        <w:rPr>
          <w:rFonts w:ascii="Avenir Book" w:eastAsiaTheme="majorEastAsia" w:hAnsi="Avenir Book" w:cstheme="majorBidi"/>
          <w:b/>
          <w:bCs/>
          <w:color w:val="000000" w:themeColor="text1"/>
          <w:sz w:val="28"/>
          <w:szCs w:val="26"/>
        </w:rPr>
        <w:t xml:space="preserve">How </w:t>
      </w:r>
      <w:r w:rsidR="00204689">
        <w:rPr>
          <w:rFonts w:ascii="Avenir Book" w:eastAsiaTheme="majorEastAsia" w:hAnsi="Avenir Book" w:cstheme="majorBidi"/>
          <w:b/>
          <w:bCs/>
          <w:color w:val="000000" w:themeColor="text1"/>
          <w:sz w:val="28"/>
          <w:szCs w:val="26"/>
        </w:rPr>
        <w:t>A</w:t>
      </w:r>
      <w:r w:rsidRPr="00723610">
        <w:rPr>
          <w:rFonts w:ascii="Avenir Book" w:eastAsiaTheme="majorEastAsia" w:hAnsi="Avenir Book" w:cstheme="majorBidi"/>
          <w:b/>
          <w:bCs/>
          <w:color w:val="000000" w:themeColor="text1"/>
          <w:sz w:val="28"/>
          <w:szCs w:val="26"/>
        </w:rPr>
        <w:t xml:space="preserve">re </w:t>
      </w:r>
      <w:r w:rsidR="00204689">
        <w:rPr>
          <w:rFonts w:ascii="Avenir Book" w:eastAsiaTheme="majorEastAsia" w:hAnsi="Avenir Book" w:cstheme="majorBidi"/>
          <w:b/>
          <w:bCs/>
          <w:color w:val="000000" w:themeColor="text1"/>
          <w:sz w:val="28"/>
          <w:szCs w:val="26"/>
        </w:rPr>
        <w:t>W</w:t>
      </w:r>
      <w:r w:rsidRPr="00723610">
        <w:rPr>
          <w:rFonts w:ascii="Avenir Book" w:eastAsiaTheme="majorEastAsia" w:hAnsi="Avenir Book" w:cstheme="majorBidi"/>
          <w:b/>
          <w:bCs/>
          <w:color w:val="000000" w:themeColor="text1"/>
          <w:sz w:val="28"/>
          <w:szCs w:val="26"/>
        </w:rPr>
        <w:t xml:space="preserve">e to </w:t>
      </w:r>
      <w:r w:rsidR="00204689">
        <w:rPr>
          <w:rFonts w:ascii="Avenir Book" w:eastAsiaTheme="majorEastAsia" w:hAnsi="Avenir Book" w:cstheme="majorBidi"/>
          <w:b/>
          <w:bCs/>
          <w:color w:val="000000" w:themeColor="text1"/>
          <w:sz w:val="28"/>
          <w:szCs w:val="26"/>
        </w:rPr>
        <w:t>U</w:t>
      </w:r>
      <w:r w:rsidRPr="00723610">
        <w:rPr>
          <w:rFonts w:ascii="Avenir Book" w:eastAsiaTheme="majorEastAsia" w:hAnsi="Avenir Book" w:cstheme="majorBidi"/>
          <w:b/>
          <w:bCs/>
          <w:color w:val="000000" w:themeColor="text1"/>
          <w:sz w:val="28"/>
          <w:szCs w:val="26"/>
        </w:rPr>
        <w:t xml:space="preserve">nderstand </w:t>
      </w:r>
      <w:r w:rsidR="00204689">
        <w:rPr>
          <w:rFonts w:ascii="Avenir Book" w:eastAsiaTheme="majorEastAsia" w:hAnsi="Avenir Book" w:cstheme="majorBidi"/>
          <w:b/>
          <w:bCs/>
          <w:color w:val="000000" w:themeColor="text1"/>
          <w:sz w:val="28"/>
          <w:szCs w:val="26"/>
        </w:rPr>
        <w:t>P</w:t>
      </w:r>
      <w:r w:rsidRPr="00723610">
        <w:rPr>
          <w:rFonts w:ascii="Avenir Book" w:eastAsiaTheme="majorEastAsia" w:hAnsi="Avenir Book" w:cstheme="majorBidi"/>
          <w:b/>
          <w:bCs/>
          <w:color w:val="000000" w:themeColor="text1"/>
          <w:sz w:val="28"/>
          <w:szCs w:val="26"/>
        </w:rPr>
        <w:t xml:space="preserve">rayer? </w:t>
      </w:r>
    </w:p>
    <w:p w14:paraId="265AD3C1" w14:textId="291D8AEC" w:rsidR="00A25CDB" w:rsidRPr="00723610" w:rsidRDefault="00A25CDB" w:rsidP="00A25CDB">
      <w:pPr>
        <w:ind w:firstLine="360"/>
        <w:rPr>
          <w:rFonts w:ascii="Avenir Book" w:hAnsi="Avenir Book"/>
        </w:rPr>
      </w:pPr>
      <w:r w:rsidRPr="00723610">
        <w:rPr>
          <w:rFonts w:ascii="Avenir Book" w:hAnsi="Avenir Book"/>
        </w:rPr>
        <w:t xml:space="preserve">An answer to this question might be that </w:t>
      </w:r>
      <w:r w:rsidRPr="00723610">
        <w:rPr>
          <w:rFonts w:ascii="Avenir Book" w:hAnsi="Avenir Book"/>
          <w:i/>
          <w:iCs/>
        </w:rPr>
        <w:t>we come to understand the practice of prayer by coming to understand what prayer enables us to understand</w:t>
      </w:r>
      <w:r w:rsidRPr="00723610">
        <w:rPr>
          <w:rFonts w:ascii="Avenir Book" w:hAnsi="Avenir Book"/>
        </w:rPr>
        <w:t xml:space="preserve">. The hermeneutical nature of prayer lies not in the obvious––i.e. that it is a dialogical figuration of question and response, but in the fact that it embodies a process of disclosure in which we become conscious of the hermeneutical distances in which we as humans live both joyously and sometimes painfully. Dilthey made familiar the idea that to understand a cultural phenomenon presupposes that one already has a prior acquaintance with the way of life of which it is a part. Heidegger </w:t>
      </w:r>
      <w:r w:rsidR="0056147B" w:rsidRPr="00723610">
        <w:rPr>
          <w:rFonts w:ascii="Avenir Book" w:hAnsi="Avenir Book"/>
        </w:rPr>
        <w:t>radicalized</w:t>
      </w:r>
      <w:r w:rsidRPr="00723610">
        <w:rPr>
          <w:rFonts w:ascii="Avenir Book" w:hAnsi="Avenir Book"/>
        </w:rPr>
        <w:t xml:space="preserve"> this figure of argument suggesting that any interpretation of a subject-matter is an elaboration of possibilities that one is already pre-reflectively acquainted with. This implies that coming to understand the act of prayer is dependent upon what one already understands pre-reflectively of prayer and its possibilities. The implication is that prayer is </w:t>
      </w:r>
      <w:r w:rsidRPr="00723610">
        <w:rPr>
          <w:rFonts w:ascii="Avenir Book" w:hAnsi="Avenir Book"/>
          <w:i/>
          <w:iCs/>
        </w:rPr>
        <w:t>an exemplary example of a practice that discloses the conditions of its own understanding</w:t>
      </w:r>
      <w:r w:rsidRPr="00723610">
        <w:rPr>
          <w:rFonts w:ascii="Avenir Book" w:hAnsi="Avenir Book"/>
        </w:rPr>
        <w:t>––</w:t>
      </w:r>
      <w:r w:rsidRPr="00723610">
        <w:rPr>
          <w:rFonts w:ascii="Avenir Book" w:hAnsi="Avenir Book"/>
          <w:i/>
          <w:iCs/>
        </w:rPr>
        <w:t>i.e.</w:t>
      </w:r>
      <w:r w:rsidR="0056147B" w:rsidRPr="00723610">
        <w:rPr>
          <w:rFonts w:ascii="Avenir Book" w:hAnsi="Avenir Book"/>
          <w:i/>
          <w:iCs/>
        </w:rPr>
        <w:t>,</w:t>
      </w:r>
      <w:r w:rsidRPr="00723610">
        <w:rPr>
          <w:rFonts w:ascii="Avenir Book" w:hAnsi="Avenir Book"/>
          <w:i/>
          <w:iCs/>
        </w:rPr>
        <w:t xml:space="preserve"> we understand prayer by </w:t>
      </w:r>
      <w:r w:rsidRPr="00723610">
        <w:rPr>
          <w:rFonts w:ascii="Avenir Book" w:hAnsi="Avenir Book"/>
          <w:i/>
          <w:iCs/>
        </w:rPr>
        <w:lastRenderedPageBreak/>
        <w:t>coming to understand what the practice of prayer enables us to understand.</w:t>
      </w:r>
      <w:r w:rsidRPr="00723610">
        <w:rPr>
          <w:rFonts w:ascii="Avenir Book" w:hAnsi="Avenir Book"/>
        </w:rPr>
        <w:t xml:space="preserve"> The practice of prayer is hermeneutical in the specifically Gadamerian sense that its perceived meaningfulness reflects its historical effects upon its practitioners. Prayer can be perceived to be meaningful by means of the effects it brings about. Why is this important?</w:t>
      </w:r>
    </w:p>
    <w:p w14:paraId="46A549E2" w14:textId="5EF457C6" w:rsidR="00575A0E" w:rsidRPr="00723610" w:rsidRDefault="00A25CDB" w:rsidP="00A25CDB">
      <w:pPr>
        <w:ind w:firstLine="720"/>
        <w:rPr>
          <w:rFonts w:ascii="Avenir Book" w:hAnsi="Avenir Book"/>
        </w:rPr>
      </w:pPr>
      <w:r w:rsidRPr="00723610">
        <w:rPr>
          <w:rFonts w:ascii="Avenir Book" w:hAnsi="Avenir Book"/>
        </w:rPr>
        <w:t xml:space="preserve">Key issues at the core of contemporary hermeneutical reasoning are at stake:  </w:t>
      </w:r>
      <w:r w:rsidRPr="00723610">
        <w:rPr>
          <w:rFonts w:ascii="Avenir Book" w:hAnsi="Avenir Book"/>
          <w:i/>
          <w:iCs/>
        </w:rPr>
        <w:t>What justifies the claims to meaningfulness within a given practice? Is the justification internal</w:t>
      </w:r>
      <w:r w:rsidRPr="00723610">
        <w:rPr>
          <w:rFonts w:ascii="Avenir Book" w:hAnsi="Avenir Book"/>
        </w:rPr>
        <w:t xml:space="preserve">––i.e., dependent on an endorsement from within a participatory epistemology, or does it require an external validation which would confirm prayer’s claim to truth in relation to a body of affairs independent of the practice as is the case with representational epistemology? However, the </w:t>
      </w:r>
      <w:proofErr w:type="spellStart"/>
      <w:r w:rsidRPr="00723610">
        <w:rPr>
          <w:rFonts w:ascii="Avenir Book" w:hAnsi="Avenir Book"/>
        </w:rPr>
        <w:t>representationalist</w:t>
      </w:r>
      <w:proofErr w:type="spellEnd"/>
      <w:r w:rsidRPr="00723610">
        <w:rPr>
          <w:rFonts w:ascii="Avenir Book" w:hAnsi="Avenir Book"/>
        </w:rPr>
        <w:t xml:space="preserve"> justification poses severe difficulties; what if the external </w:t>
      </w:r>
      <w:proofErr w:type="gramStart"/>
      <w:r w:rsidRPr="00723610">
        <w:rPr>
          <w:rFonts w:ascii="Avenir Book" w:hAnsi="Avenir Book"/>
        </w:rPr>
        <w:t>state of affairs</w:t>
      </w:r>
      <w:proofErr w:type="gramEnd"/>
      <w:r w:rsidRPr="00723610">
        <w:rPr>
          <w:rFonts w:ascii="Avenir Book" w:hAnsi="Avenir Book"/>
        </w:rPr>
        <w:t xml:space="preserve"> that the alleged meaningfulness represents cease to exist? This is directly analogous to the claims to meaning made by art which have no external correlative to validate their assertions. This lends our over-all argument a certain poignancy. The question of what justifies claims to meaningfulness in art practice has a direct bearing on the same question when applied to the practice of prayer. As we shall suggest below, Nietzsche was correct to suggest that how we understand art touches on the question of how we understand religion and </w:t>
      </w:r>
      <w:r w:rsidRPr="00723610">
        <w:rPr>
          <w:rFonts w:ascii="Avenir Book" w:hAnsi="Avenir Book"/>
          <w:i/>
          <w:iCs/>
        </w:rPr>
        <w:t>vice versa</w:t>
      </w:r>
      <w:r w:rsidRPr="00723610">
        <w:rPr>
          <w:rFonts w:ascii="Avenir Book" w:hAnsi="Avenir Book"/>
        </w:rPr>
        <w:t>.</w:t>
      </w:r>
      <w:r w:rsidR="0056147B" w:rsidRPr="00723610">
        <w:rPr>
          <w:rStyle w:val="FootnoteReference"/>
          <w:rFonts w:ascii="Avenir Book" w:hAnsi="Avenir Book"/>
        </w:rPr>
        <w:footnoteReference w:id="1"/>
      </w:r>
      <w:r w:rsidRPr="00723610">
        <w:rPr>
          <w:rFonts w:ascii="Avenir Book" w:hAnsi="Avenir Book"/>
        </w:rPr>
        <w:t xml:space="preserve">  How then are we who live in a supposedly post-metaphysical world dismissive of the idea of a </w:t>
      </w:r>
      <w:proofErr w:type="spellStart"/>
      <w:r w:rsidRPr="00723610">
        <w:rPr>
          <w:rFonts w:ascii="Avenir Book" w:hAnsi="Avenir Book"/>
        </w:rPr>
        <w:t>petitionable</w:t>
      </w:r>
      <w:proofErr w:type="spellEnd"/>
      <w:r w:rsidRPr="00723610">
        <w:rPr>
          <w:rFonts w:ascii="Avenir Book" w:hAnsi="Avenir Book"/>
        </w:rPr>
        <w:t xml:space="preserve"> God as a philosophical naïveté, to understand the act of prayer itself? If, as Nietzsche claims, it is we who have killed God, then are we not also responsible for rendering the act of prayer meaningless?</w:t>
      </w:r>
      <w:r w:rsidR="006953C6" w:rsidRPr="00723610">
        <w:rPr>
          <w:rStyle w:val="FootnoteReference"/>
          <w:rFonts w:ascii="Avenir Book" w:hAnsi="Avenir Book"/>
        </w:rPr>
        <w:footnoteReference w:id="2"/>
      </w:r>
      <w:r w:rsidRPr="00723610">
        <w:rPr>
          <w:rFonts w:ascii="Avenir Book" w:hAnsi="Avenir Book"/>
        </w:rPr>
        <w:t xml:space="preserve">  Nietzsche’s “metaphysical amputation” of a true world beyond this one is strikingly eloquent.</w:t>
      </w:r>
    </w:p>
    <w:p w14:paraId="375E9D70" w14:textId="77777777" w:rsidR="006953C6" w:rsidRPr="006953C6" w:rsidRDefault="006953C6" w:rsidP="006953C6">
      <w:pPr>
        <w:ind w:left="720"/>
        <w:rPr>
          <w:rFonts w:ascii="Avenir Book" w:hAnsi="Avenir Book"/>
        </w:rPr>
      </w:pPr>
      <w:r w:rsidRPr="006953C6">
        <w:rPr>
          <w:rFonts w:ascii="Avenir Book" w:hAnsi="Avenir Book"/>
        </w:rPr>
        <w:t xml:space="preserve">It is true, there could be a metaphysical world: the absolute possibility of it is hardly to be disputed . . . (but) . . .  one could assert nothing at </w:t>
      </w:r>
      <w:proofErr w:type="gramStart"/>
      <w:r w:rsidRPr="006953C6">
        <w:rPr>
          <w:rFonts w:ascii="Avenir Book" w:hAnsi="Avenir Book"/>
        </w:rPr>
        <w:t>all of</w:t>
      </w:r>
      <w:proofErr w:type="gramEnd"/>
      <w:r w:rsidRPr="006953C6">
        <w:rPr>
          <w:rFonts w:ascii="Avenir Book" w:hAnsi="Avenir Book"/>
        </w:rPr>
        <w:t xml:space="preserve"> the metaphysical world except that it was a being other, an inaccessible, incomprehensible being other: it would be a thing with negative qualities––Even if the existence of such a world were never so well demonstrated, it is certain that knowledge of it would be the most useless.</w:t>
      </w:r>
      <w:r w:rsidRPr="006953C6">
        <w:rPr>
          <w:rFonts w:ascii="Avenir Book" w:hAnsi="Avenir Book"/>
          <w:vertAlign w:val="superscript"/>
        </w:rPr>
        <w:footnoteReference w:id="3"/>
      </w:r>
      <w:r w:rsidRPr="006953C6">
        <w:rPr>
          <w:rFonts w:ascii="Avenir Book" w:hAnsi="Avenir Book"/>
        </w:rPr>
        <w:t xml:space="preserve"> </w:t>
      </w:r>
    </w:p>
    <w:p w14:paraId="2E461233" w14:textId="0722AC75" w:rsidR="006953C6" w:rsidRPr="006953C6" w:rsidRDefault="006953C6" w:rsidP="006953C6">
      <w:pPr>
        <w:rPr>
          <w:rFonts w:ascii="Avenir Book" w:hAnsi="Avenir Book"/>
          <w:i/>
          <w:iCs/>
        </w:rPr>
      </w:pPr>
      <w:r w:rsidRPr="006953C6">
        <w:rPr>
          <w:rFonts w:ascii="Avenir Book" w:hAnsi="Avenir Book"/>
        </w:rPr>
        <w:lastRenderedPageBreak/>
        <w:t xml:space="preserve">Such metaphysical skepticism prompted Kant to castigate petitionary prayer (though not ethical meditation) as a superstitious illusion. Don Cupitt is a contemporary theologian who does not shy away from the task that Kant and Nietzsche respectively set; how to rethink Christianity </w:t>
      </w:r>
      <w:r w:rsidRPr="006953C6">
        <w:rPr>
          <w:rFonts w:ascii="Avenir Book" w:hAnsi="Avenir Book"/>
          <w:i/>
          <w:iCs/>
        </w:rPr>
        <w:t>without</w:t>
      </w:r>
      <w:r w:rsidRPr="006953C6">
        <w:rPr>
          <w:rFonts w:ascii="Avenir Book" w:hAnsi="Avenir Book"/>
        </w:rPr>
        <w:t xml:space="preserve"> its metaphysical underpinnings. Cupitt attacks the metaphysical (Platonic) tradition of Christianity for identifying the Real as an eternal intelligible being beyond the apparent world and yet somehow able to uphold it.</w:t>
      </w:r>
      <w:r w:rsidRPr="006953C6">
        <w:rPr>
          <w:rFonts w:ascii="Avenir Book" w:hAnsi="Avenir Book"/>
          <w:vertAlign w:val="superscript"/>
        </w:rPr>
        <w:footnoteReference w:id="4"/>
      </w:r>
      <w:r w:rsidRPr="006953C6">
        <w:rPr>
          <w:rFonts w:ascii="Avenir Book" w:hAnsi="Avenir Book"/>
        </w:rPr>
        <w:t xml:space="preserve"> Such ideas, he insists, have had their day and require a complete re-valuation if not de-mythologization. However, Cupitt’s renunciation of a binary metaphysics re-enforces our central question: </w:t>
      </w:r>
      <w:r w:rsidRPr="006953C6">
        <w:rPr>
          <w:rFonts w:ascii="Avenir Book" w:hAnsi="Avenir Book"/>
          <w:i/>
          <w:iCs/>
        </w:rPr>
        <w:t>is the meaningfulness of prayer dependent upon accepting a Christian metaphysic?</w:t>
      </w:r>
      <w:r w:rsidRPr="006953C6">
        <w:rPr>
          <w:rFonts w:ascii="Avenir Book" w:hAnsi="Avenir Book"/>
        </w:rPr>
        <w:t xml:space="preserve"> For various reasons, our answer to this question is </w:t>
      </w:r>
      <w:r w:rsidRPr="00723610">
        <w:rPr>
          <w:rFonts w:ascii="Avenir Book" w:hAnsi="Avenir Book"/>
        </w:rPr>
        <w:t>“</w:t>
      </w:r>
      <w:r w:rsidRPr="006953C6">
        <w:rPr>
          <w:rFonts w:ascii="Avenir Book" w:hAnsi="Avenir Book"/>
        </w:rPr>
        <w:t>N</w:t>
      </w:r>
      <w:r w:rsidRPr="00723610">
        <w:rPr>
          <w:rFonts w:ascii="Avenir Book" w:hAnsi="Avenir Book"/>
        </w:rPr>
        <w:t>o.”</w:t>
      </w:r>
      <w:r w:rsidRPr="006953C6">
        <w:rPr>
          <w:rFonts w:ascii="Avenir Book" w:hAnsi="Avenir Book"/>
        </w:rPr>
        <w:t xml:space="preserve"> Our reasons are as follows. </w:t>
      </w:r>
    </w:p>
    <w:p w14:paraId="7095EAF4" w14:textId="4F90618C" w:rsidR="004A0C77" w:rsidRPr="004A0C77" w:rsidRDefault="004A0C77" w:rsidP="004A0C77">
      <w:pPr>
        <w:numPr>
          <w:ilvl w:val="0"/>
          <w:numId w:val="4"/>
        </w:numPr>
        <w:rPr>
          <w:rFonts w:ascii="Avenir Book" w:hAnsi="Avenir Book"/>
        </w:rPr>
      </w:pPr>
      <w:r w:rsidRPr="004A0C77">
        <w:rPr>
          <w:rFonts w:ascii="Avenir Book" w:hAnsi="Avenir Book"/>
          <w:i/>
          <w:iCs/>
        </w:rPr>
        <w:t>Conceptual indeterminacy</w:t>
      </w:r>
      <w:r w:rsidRPr="004A0C77">
        <w:rPr>
          <w:rFonts w:ascii="Avenir Book" w:hAnsi="Avenir Book"/>
        </w:rPr>
        <w:t>: Christian metaphysics cannot exhaust the meaning of prayer. Rowans Williams suggests that “[w]hat we encounter in prayer is never capable of being reduced to a finished conceptual scheme.”</w:t>
      </w:r>
      <w:r w:rsidRPr="004A0C77">
        <w:rPr>
          <w:rFonts w:ascii="Avenir Book" w:hAnsi="Avenir Book"/>
          <w:vertAlign w:val="superscript"/>
        </w:rPr>
        <w:footnoteReference w:id="5"/>
      </w:r>
      <w:r w:rsidRPr="004A0C77">
        <w:rPr>
          <w:rFonts w:ascii="Avenir Book" w:hAnsi="Avenir Book"/>
        </w:rPr>
        <w:t xml:space="preserve"> The remark reminds us that all too often we become blind to the restrictive nature of how we have come to understand key terms such as prayer. As a transcendent subject-matter (</w:t>
      </w:r>
      <w:r w:rsidRPr="004A0C77">
        <w:rPr>
          <w:rFonts w:ascii="Avenir Book" w:hAnsi="Avenir Book"/>
          <w:i/>
          <w:iCs/>
        </w:rPr>
        <w:t>Sache</w:t>
      </w:r>
      <w:r w:rsidRPr="004A0C77">
        <w:rPr>
          <w:rFonts w:ascii="Avenir Book" w:hAnsi="Avenir Book"/>
        </w:rPr>
        <w:t>), the term cannot be subject to fixed determinations of meaning: whatever we think it may mean, it will mean more. This leads David Ford to conjecture that prayer should be considered as a practice of excess––i.e</w:t>
      </w:r>
      <w:r w:rsidR="0086417B" w:rsidRPr="00723610">
        <w:rPr>
          <w:rFonts w:ascii="Avenir Book" w:hAnsi="Avenir Book"/>
        </w:rPr>
        <w:t>.</w:t>
      </w:r>
      <w:r w:rsidRPr="004A0C77">
        <w:rPr>
          <w:rFonts w:ascii="Avenir Book" w:hAnsi="Avenir Book"/>
        </w:rPr>
        <w:t>, a becoming open to the abundance of what is contained within religious language and its concepts.</w:t>
      </w:r>
      <w:r w:rsidRPr="004A0C77">
        <w:rPr>
          <w:rFonts w:ascii="Avenir Book" w:hAnsi="Avenir Book"/>
          <w:vertAlign w:val="superscript"/>
        </w:rPr>
        <w:footnoteReference w:id="6"/>
      </w:r>
      <w:r w:rsidRPr="004A0C77">
        <w:rPr>
          <w:rFonts w:ascii="Avenir Book" w:hAnsi="Avenir Book"/>
        </w:rPr>
        <w:t xml:space="preserve"> </w:t>
      </w:r>
    </w:p>
    <w:p w14:paraId="42638761" w14:textId="77777777" w:rsidR="004A0C77" w:rsidRPr="004A0C77" w:rsidRDefault="004A0C77" w:rsidP="004A0C77">
      <w:pPr>
        <w:numPr>
          <w:ilvl w:val="0"/>
          <w:numId w:val="4"/>
        </w:numPr>
        <w:rPr>
          <w:rFonts w:ascii="Avenir Book" w:hAnsi="Avenir Book"/>
        </w:rPr>
      </w:pPr>
      <w:r w:rsidRPr="004A0C77">
        <w:rPr>
          <w:rFonts w:ascii="Avenir Book" w:hAnsi="Avenir Book"/>
          <w:i/>
          <w:iCs/>
        </w:rPr>
        <w:t>Historical determinacy</w:t>
      </w:r>
      <w:r w:rsidRPr="004A0C77">
        <w:rPr>
          <w:rFonts w:ascii="Avenir Book" w:hAnsi="Avenir Book"/>
        </w:rPr>
        <w:t>: What we might understand as the essential characteristics of prayer are rarely universal but indicate the perspectives and preferences of a specific community. Though Anne Michaels’ description of prayer as “seeking by way of silence” is seemingly exemplary, Diarmaid MacCulloch reminds us that silent prayer was frowned on by early ecclesiastical authority.</w:t>
      </w:r>
      <w:r w:rsidRPr="004A0C77">
        <w:rPr>
          <w:rFonts w:ascii="Avenir Book" w:hAnsi="Avenir Book"/>
          <w:vertAlign w:val="superscript"/>
        </w:rPr>
        <w:footnoteReference w:id="7"/>
      </w:r>
      <w:r w:rsidRPr="004A0C77">
        <w:rPr>
          <w:rFonts w:ascii="Avenir Book" w:hAnsi="Avenir Book"/>
        </w:rPr>
        <w:t xml:space="preserve"> In other words, dominant ideological preferences have displaced perfectly feasible non-metaphysical ways of configuring the practice of prayer. </w:t>
      </w:r>
    </w:p>
    <w:p w14:paraId="289110C7" w14:textId="5E2F1DD5" w:rsidR="006953C6" w:rsidRPr="00723610" w:rsidRDefault="004A0C77" w:rsidP="00F03192">
      <w:pPr>
        <w:numPr>
          <w:ilvl w:val="0"/>
          <w:numId w:val="4"/>
        </w:numPr>
        <w:rPr>
          <w:rFonts w:ascii="Avenir Book" w:hAnsi="Avenir Book"/>
        </w:rPr>
      </w:pPr>
      <w:r w:rsidRPr="004A0C77">
        <w:rPr>
          <w:rFonts w:ascii="Avenir Book" w:hAnsi="Avenir Book"/>
          <w:i/>
          <w:iCs/>
        </w:rPr>
        <w:lastRenderedPageBreak/>
        <w:t>Hermeneutical Critique:</w:t>
      </w:r>
      <w:r w:rsidRPr="004A0C77">
        <w:rPr>
          <w:rFonts w:ascii="Avenir Book" w:hAnsi="Avenir Book"/>
        </w:rPr>
        <w:t xml:space="preserve"> Hermeneutical philosophy is wedded to the axiom that what limits our understanding of a subject-matter also expands it. The etymological and philological inter-relatedness of concepts within language allows hermeneutical critique to uncover alternative ways of thinking about prayer. What renders our understanding finite is not a </w:t>
      </w:r>
      <w:r w:rsidRPr="004A0C77">
        <w:rPr>
          <w:rFonts w:ascii="Avenir Book" w:hAnsi="Avenir Book"/>
          <w:i/>
          <w:iCs/>
        </w:rPr>
        <w:t>noumenal</w:t>
      </w:r>
      <w:r w:rsidRPr="004A0C77">
        <w:rPr>
          <w:rFonts w:ascii="Avenir Book" w:hAnsi="Avenir Book"/>
        </w:rPr>
        <w:t xml:space="preserve"> reality which it cannot</w:t>
      </w:r>
      <w:r w:rsidR="0086417B" w:rsidRPr="00723610">
        <w:rPr>
          <w:rFonts w:ascii="Avenir Book" w:hAnsi="Avenir Book"/>
        </w:rPr>
        <w:t>,</w:t>
      </w:r>
      <w:r w:rsidRPr="004A0C77">
        <w:rPr>
          <w:rFonts w:ascii="Avenir Book" w:hAnsi="Avenir Book"/>
        </w:rPr>
        <w:t xml:space="preserve"> by definition</w:t>
      </w:r>
      <w:r w:rsidR="0086417B" w:rsidRPr="00723610">
        <w:rPr>
          <w:rFonts w:ascii="Avenir Book" w:hAnsi="Avenir Book"/>
        </w:rPr>
        <w:t>,</w:t>
      </w:r>
      <w:r w:rsidRPr="004A0C77">
        <w:rPr>
          <w:rFonts w:ascii="Avenir Book" w:hAnsi="Avenir Book"/>
        </w:rPr>
        <w:t xml:space="preserve"> embrace but other language constructs within language-being itself.  </w:t>
      </w:r>
      <w:proofErr w:type="spellStart"/>
      <w:r w:rsidRPr="004A0C77">
        <w:rPr>
          <w:rFonts w:ascii="Avenir Book" w:hAnsi="Avenir Book"/>
          <w:i/>
          <w:iCs/>
        </w:rPr>
        <w:t>Komparistik</w:t>
      </w:r>
      <w:proofErr w:type="spellEnd"/>
      <w:r w:rsidRPr="004A0C77">
        <w:rPr>
          <w:rFonts w:ascii="Avenir Book" w:hAnsi="Avenir Book"/>
          <w:i/>
          <w:iCs/>
        </w:rPr>
        <w:t xml:space="preserve"> </w:t>
      </w:r>
      <w:r w:rsidRPr="004A0C77">
        <w:rPr>
          <w:rFonts w:ascii="Avenir Book" w:hAnsi="Avenir Book"/>
        </w:rPr>
        <w:t>can</w:t>
      </w:r>
      <w:r w:rsidRPr="004A0C77">
        <w:rPr>
          <w:rFonts w:ascii="Avenir Book" w:hAnsi="Avenir Book"/>
          <w:i/>
          <w:iCs/>
        </w:rPr>
        <w:t xml:space="preserve"> </w:t>
      </w:r>
      <w:r w:rsidRPr="004A0C77">
        <w:rPr>
          <w:rFonts w:ascii="Avenir Book" w:hAnsi="Avenir Book"/>
        </w:rPr>
        <w:t xml:space="preserve">reveal plentiful alternatives to the supposition that prayer is anchored in a traditional metaphysical framework. The Russian philosopher </w:t>
      </w:r>
      <w:proofErr w:type="spellStart"/>
      <w:r w:rsidRPr="004A0C77">
        <w:rPr>
          <w:rFonts w:ascii="Avenir Book" w:hAnsi="Avenir Book"/>
        </w:rPr>
        <w:t>Bibikhin</w:t>
      </w:r>
      <w:proofErr w:type="spellEnd"/>
      <w:r w:rsidRPr="004A0C77">
        <w:rPr>
          <w:rFonts w:ascii="Avenir Book" w:hAnsi="Avenir Book"/>
        </w:rPr>
        <w:t xml:space="preserve">, likens prayer to </w:t>
      </w:r>
      <w:r w:rsidRPr="004A0C77">
        <w:rPr>
          <w:rFonts w:ascii="Avenir Book" w:hAnsi="Avenir Book"/>
          <w:i/>
          <w:iCs/>
        </w:rPr>
        <w:t>an act of attentiveness, a constant and conscious-being with the object of mindful attention.</w:t>
      </w:r>
      <w:r w:rsidRPr="004A0C77">
        <w:rPr>
          <w:rFonts w:ascii="Avenir Book" w:hAnsi="Avenir Book"/>
          <w:vertAlign w:val="superscript"/>
        </w:rPr>
        <w:footnoteReference w:id="8"/>
      </w:r>
      <w:r w:rsidRPr="004A0C77">
        <w:rPr>
          <w:rFonts w:ascii="Avenir Book" w:hAnsi="Avenir Book"/>
        </w:rPr>
        <w:t xml:space="preserve"> The discipline of acquiring such attentiveness is a path of self-discovery and self-movement in which the limits of understanding become apparent.</w:t>
      </w:r>
      <w:r w:rsidRPr="004A0C77">
        <w:rPr>
          <w:rFonts w:ascii="Avenir Book" w:hAnsi="Avenir Book"/>
          <w:vertAlign w:val="superscript"/>
        </w:rPr>
        <w:footnoteReference w:id="9"/>
      </w:r>
      <w:r w:rsidRPr="004A0C77">
        <w:rPr>
          <w:rFonts w:ascii="Avenir Book" w:hAnsi="Avenir Book"/>
        </w:rPr>
        <w:t xml:space="preserve"> This intimation of the eventual gives attentiveness an ontological valence: “Unceasing Prayer reveals what is truly occurring.”</w:t>
      </w:r>
      <w:r w:rsidRPr="004A0C77">
        <w:rPr>
          <w:rFonts w:ascii="Avenir Book" w:hAnsi="Avenir Book"/>
          <w:vertAlign w:val="superscript"/>
        </w:rPr>
        <w:footnoteReference w:id="10"/>
      </w:r>
      <w:r w:rsidRPr="004A0C77">
        <w:rPr>
          <w:rFonts w:ascii="Avenir Book" w:hAnsi="Avenir Book"/>
        </w:rPr>
        <w:t xml:space="preserve"> The philosopher Fiona Ellis also argues that prayer does not have to be petitionary but can be considered both as the making of a contemplative space and as achieving an attitude of open-mindedness.</w:t>
      </w:r>
      <w:r w:rsidRPr="004A0C77">
        <w:rPr>
          <w:rFonts w:ascii="Avenir Book" w:hAnsi="Avenir Book"/>
          <w:vertAlign w:val="superscript"/>
        </w:rPr>
        <w:footnoteReference w:id="11"/>
      </w:r>
      <w:r w:rsidRPr="004A0C77">
        <w:rPr>
          <w:rFonts w:ascii="Avenir Book" w:hAnsi="Avenir Book"/>
        </w:rPr>
        <w:t xml:space="preserve"> Iris Murdoch contends that “Prayer is not properly petition” but “an act of attention.”</w:t>
      </w:r>
      <w:r w:rsidRPr="004A0C77">
        <w:rPr>
          <w:rFonts w:ascii="Avenir Book" w:hAnsi="Avenir Book"/>
          <w:vertAlign w:val="superscript"/>
        </w:rPr>
        <w:footnoteReference w:id="12"/>
      </w:r>
      <w:r w:rsidRPr="004A0C77">
        <w:rPr>
          <w:rFonts w:ascii="Avenir Book" w:hAnsi="Avenir Book"/>
        </w:rPr>
        <w:t xml:space="preserve">  It is “a sort of </w:t>
      </w:r>
      <w:r w:rsidRPr="004A0C77">
        <w:rPr>
          <w:rFonts w:ascii="Avenir Book" w:hAnsi="Avenir Book"/>
          <w:i/>
          <w:iCs/>
        </w:rPr>
        <w:t xml:space="preserve">via </w:t>
      </w:r>
      <w:proofErr w:type="spellStart"/>
      <w:r w:rsidRPr="004A0C77">
        <w:rPr>
          <w:rFonts w:ascii="Avenir Book" w:hAnsi="Avenir Book"/>
          <w:i/>
          <w:iCs/>
        </w:rPr>
        <w:t>negativa</w:t>
      </w:r>
      <w:proofErr w:type="spellEnd"/>
      <w:r w:rsidRPr="004A0C77">
        <w:rPr>
          <w:rFonts w:ascii="Avenir Book" w:hAnsi="Avenir Book"/>
        </w:rPr>
        <w:t>” or “mindful action,” and “learning.”</w:t>
      </w:r>
      <w:r w:rsidRPr="004A0C77">
        <w:rPr>
          <w:rFonts w:ascii="Avenir Book" w:hAnsi="Avenir Book"/>
          <w:vertAlign w:val="superscript"/>
        </w:rPr>
        <w:footnoteReference w:id="13"/>
      </w:r>
      <w:r w:rsidRPr="004A0C77">
        <w:rPr>
          <w:rFonts w:ascii="Avenir Book" w:hAnsi="Avenir Book"/>
        </w:rPr>
        <w:t xml:space="preserve"> These remarks evidence that non-metaphysical notions of prayer are perfectly plausible. Indeed, a stronger argument can be wagered. Prayerful practice precedes (theological) metaphysics! </w:t>
      </w:r>
      <w:r w:rsidRPr="004A0C77">
        <w:rPr>
          <w:rFonts w:ascii="Avenir Book" w:hAnsi="Avenir Book"/>
          <w:i/>
          <w:iCs/>
        </w:rPr>
        <w:t xml:space="preserve">The phenomenological underpinnings of prayer (the very human experience of “opening towards” and of “being opened by”) precede the religious overlays placed upon it. </w:t>
      </w:r>
      <w:r w:rsidRPr="004A0C77">
        <w:rPr>
          <w:rFonts w:ascii="Avenir Book" w:hAnsi="Avenir Book"/>
        </w:rPr>
        <w:t xml:space="preserve">The force of this argument becomes apparent when we consider that our being as linguistic </w:t>
      </w:r>
      <w:proofErr w:type="gramStart"/>
      <w:r w:rsidRPr="004A0C77">
        <w:rPr>
          <w:rFonts w:ascii="Avenir Book" w:hAnsi="Avenir Book"/>
        </w:rPr>
        <w:t>creatures</w:t>
      </w:r>
      <w:proofErr w:type="gramEnd"/>
      <w:r w:rsidRPr="004A0C77">
        <w:rPr>
          <w:rFonts w:ascii="Avenir Book" w:hAnsi="Avenir Book"/>
        </w:rPr>
        <w:t xml:space="preserve"> language </w:t>
      </w:r>
      <w:r w:rsidR="0086417B" w:rsidRPr="00723610">
        <w:rPr>
          <w:rFonts w:ascii="Avenir Book" w:hAnsi="Avenir Book"/>
        </w:rPr>
        <w:t>“</w:t>
      </w:r>
      <w:r w:rsidRPr="004A0C77">
        <w:rPr>
          <w:rFonts w:ascii="Avenir Book" w:hAnsi="Avenir Book"/>
        </w:rPr>
        <w:t>opens us</w:t>
      </w:r>
      <w:r w:rsidR="0086417B" w:rsidRPr="00723610">
        <w:rPr>
          <w:rFonts w:ascii="Avenir Book" w:hAnsi="Avenir Book"/>
        </w:rPr>
        <w:t>”</w:t>
      </w:r>
      <w:r w:rsidRPr="004A0C77">
        <w:rPr>
          <w:rFonts w:ascii="Avenir Book" w:hAnsi="Avenir Book"/>
        </w:rPr>
        <w:t xml:space="preserve"> towards the language-being in which we are grounded.</w:t>
      </w:r>
      <w:r w:rsidRPr="004A0C77">
        <w:rPr>
          <w:rFonts w:ascii="Avenir Book" w:hAnsi="Avenir Book"/>
          <w:i/>
          <w:iCs/>
        </w:rPr>
        <w:t xml:space="preserve">   </w:t>
      </w:r>
    </w:p>
    <w:p w14:paraId="60D93164" w14:textId="32428117" w:rsidR="00575A0E" w:rsidRPr="00723610" w:rsidRDefault="00F03192" w:rsidP="00F03192">
      <w:pPr>
        <w:ind w:firstLine="720"/>
        <w:rPr>
          <w:rFonts w:ascii="Avenir Book" w:hAnsi="Avenir Book"/>
        </w:rPr>
      </w:pPr>
      <w:r w:rsidRPr="00F03192">
        <w:rPr>
          <w:rFonts w:ascii="Avenir Book" w:hAnsi="Avenir Book"/>
        </w:rPr>
        <w:t>How then can the meaningfulness of non-metaphysical notions of prayer be articulated?  As we approach a possible answer to this question, let us briefly take stock of our argument so far.</w:t>
      </w:r>
    </w:p>
    <w:p w14:paraId="0748C2CA" w14:textId="09114017" w:rsidR="00B51346" w:rsidRPr="00723610" w:rsidRDefault="00F03192" w:rsidP="00F03192">
      <w:pPr>
        <w:pStyle w:val="Heading2"/>
        <w:numPr>
          <w:ilvl w:val="0"/>
          <w:numId w:val="3"/>
        </w:numPr>
        <w:spacing w:after="200"/>
        <w:rPr>
          <w:rFonts w:ascii="Avenir Book" w:hAnsi="Avenir Book"/>
          <w:color w:val="000000" w:themeColor="text1"/>
        </w:rPr>
      </w:pPr>
      <w:r w:rsidRPr="00723610">
        <w:rPr>
          <w:rFonts w:ascii="Avenir Book" w:hAnsi="Avenir Book"/>
          <w:color w:val="000000" w:themeColor="text1"/>
        </w:rPr>
        <w:lastRenderedPageBreak/>
        <w:t>Prayerful Disclosures and Meditative Openings</w:t>
      </w:r>
    </w:p>
    <w:p w14:paraId="4EA58065" w14:textId="77777777" w:rsidR="00F03192" w:rsidRPr="00F03192" w:rsidRDefault="00F03192" w:rsidP="00F03192">
      <w:pPr>
        <w:ind w:firstLine="720"/>
        <w:rPr>
          <w:rFonts w:ascii="Avenir Book" w:hAnsi="Avenir Book"/>
          <w:color w:val="000000" w:themeColor="text1"/>
        </w:rPr>
      </w:pPr>
      <w:r w:rsidRPr="00F03192">
        <w:rPr>
          <w:rFonts w:ascii="Avenir Book" w:hAnsi="Avenir Book"/>
          <w:color w:val="000000" w:themeColor="text1"/>
        </w:rPr>
        <w:t xml:space="preserve">We initially asked: “How do we understand the act of prayer in a post-metaphysical world which excludes the idea of a </w:t>
      </w:r>
      <w:proofErr w:type="spellStart"/>
      <w:r w:rsidRPr="00F03192">
        <w:rPr>
          <w:rFonts w:ascii="Avenir Book" w:hAnsi="Avenir Book"/>
          <w:color w:val="000000" w:themeColor="text1"/>
        </w:rPr>
        <w:t>petitionable</w:t>
      </w:r>
      <w:proofErr w:type="spellEnd"/>
      <w:r w:rsidRPr="00F03192">
        <w:rPr>
          <w:rFonts w:ascii="Avenir Book" w:hAnsi="Avenir Book"/>
          <w:color w:val="000000" w:themeColor="text1"/>
        </w:rPr>
        <w:t xml:space="preserve"> deity.” If there is no such deity, what justifies the act of prayer?</w:t>
      </w:r>
      <w:r w:rsidRPr="00F03192">
        <w:rPr>
          <w:rFonts w:ascii="Avenir Book" w:hAnsi="Avenir Book"/>
          <w:i/>
          <w:iCs/>
          <w:color w:val="000000" w:themeColor="text1"/>
        </w:rPr>
        <w:t xml:space="preserve"> In a post-metaphysical world, is a hermeneutics of prayer possible let alone meaningful? </w:t>
      </w:r>
      <w:r w:rsidRPr="00F03192">
        <w:rPr>
          <w:rFonts w:ascii="Avenir Book" w:hAnsi="Avenir Book"/>
          <w:color w:val="000000" w:themeColor="text1"/>
        </w:rPr>
        <w:t xml:space="preserve">The answer to these questions is provisionally affirmative since there are, logically speaking, clear alternatives to the notion of petitionary prayer. These take the form of various modes of focused, devoted, and concerned attentiveness which seek to achieve a condition of openness. Such watchful openness is directed towards a state of readiness, readiness for the possibility of disclosure whether seen, heard, or revealed. This suggests that prayer is performative, an act which facilitates something happening. Such an act has an </w:t>
      </w:r>
      <w:r w:rsidRPr="00F03192">
        <w:rPr>
          <w:rFonts w:ascii="Avenir Book" w:hAnsi="Avenir Book"/>
          <w:i/>
          <w:iCs/>
          <w:color w:val="000000" w:themeColor="text1"/>
        </w:rPr>
        <w:t>epiphanic value</w:t>
      </w:r>
      <w:r w:rsidRPr="00F03192">
        <w:rPr>
          <w:rFonts w:ascii="Avenir Book" w:hAnsi="Avenir Book"/>
          <w:color w:val="000000" w:themeColor="text1"/>
        </w:rPr>
        <w:t xml:space="preserve"> in that it occasions the disclosure of something. The disclosure has a clear ontological valence: </w:t>
      </w:r>
      <w:r w:rsidRPr="00F03192">
        <w:rPr>
          <w:rFonts w:ascii="Avenir Book" w:hAnsi="Avenir Book"/>
          <w:i/>
          <w:iCs/>
          <w:color w:val="000000" w:themeColor="text1"/>
        </w:rPr>
        <w:t>what is disclosed is both in being, of being, and reflects a kind of being</w:t>
      </w:r>
      <w:r w:rsidRPr="00F03192">
        <w:rPr>
          <w:rFonts w:ascii="Avenir Book" w:hAnsi="Avenir Book"/>
          <w:color w:val="000000" w:themeColor="text1"/>
        </w:rPr>
        <w:t xml:space="preserve">. </w:t>
      </w:r>
      <w:r w:rsidRPr="00F03192">
        <w:rPr>
          <w:rFonts w:ascii="Avenir Book" w:hAnsi="Avenir Book"/>
          <w:i/>
          <w:iCs/>
          <w:color w:val="000000" w:themeColor="text1"/>
        </w:rPr>
        <w:t>The process of disclosure is the event of being shown something or of being addressed by something.</w:t>
      </w:r>
      <w:r w:rsidRPr="00F03192">
        <w:rPr>
          <w:rFonts w:ascii="Avenir Book" w:hAnsi="Avenir Book"/>
          <w:color w:val="000000" w:themeColor="text1"/>
        </w:rPr>
        <w:t xml:space="preserve"> The event is, then, dialogical.</w:t>
      </w:r>
      <w:r w:rsidRPr="00F03192">
        <w:rPr>
          <w:rFonts w:ascii="Avenir Book" w:hAnsi="Avenir Book"/>
          <w:color w:val="000000" w:themeColor="text1"/>
          <w:vertAlign w:val="superscript"/>
        </w:rPr>
        <w:footnoteReference w:id="14"/>
      </w:r>
      <w:r w:rsidRPr="00F03192">
        <w:rPr>
          <w:rFonts w:ascii="Avenir Book" w:hAnsi="Avenir Book"/>
          <w:color w:val="000000" w:themeColor="text1"/>
        </w:rPr>
        <w:t xml:space="preserve"> Such connections suggest, once again, that the workings of prayer are linked to or have something in common with the workings of art. How might this expand our understanding of the occasion of prayer?</w:t>
      </w:r>
    </w:p>
    <w:p w14:paraId="3E3B8752" w14:textId="47CF7344" w:rsidR="00F03192" w:rsidRPr="00723610" w:rsidRDefault="00F03192" w:rsidP="00F03192">
      <w:pPr>
        <w:ind w:firstLine="720"/>
        <w:rPr>
          <w:rFonts w:ascii="Avenir Book" w:hAnsi="Avenir Book"/>
          <w:color w:val="000000" w:themeColor="text1"/>
        </w:rPr>
      </w:pPr>
      <w:r w:rsidRPr="00F03192">
        <w:rPr>
          <w:rFonts w:ascii="Avenir Book" w:hAnsi="Avenir Book"/>
          <w:color w:val="000000" w:themeColor="text1"/>
        </w:rPr>
        <w:t>Like the artwork, the act of prayer articulates a practice: it is performative in that it endeavors to bring something about. It is an act which like the artwork seeks to initiate a condition of openness, a focused readiness to receive and to be addressed. Both practices entail an attuned attentiveness to the hermeneutical event of being addressed. The prominence of readying oneself to receive the disclosed, explains why, from a Gadamerian perspective, neither the practice of art nor the practice of prayer can be “appropriately” understood from a historical or sociological perspective alone. Of course, it is incontrovertible that both can be studied by means of such disciplines, but if the language of prayerful practice and the language of art are always “in excess,” they cannot be subject to exhaustive historical or sociological reduction. Furthermore, an understanding of prayerful or aesthetic disclosure requires the first-person experience of “being addressed.” As Wittgenstein understood, one can never eavesdrop on God speaking to someone else.</w:t>
      </w:r>
      <w:r w:rsidRPr="00F03192">
        <w:rPr>
          <w:rFonts w:ascii="Avenir Book" w:hAnsi="Avenir Book"/>
          <w:color w:val="000000" w:themeColor="text1"/>
          <w:vertAlign w:val="superscript"/>
        </w:rPr>
        <w:footnoteReference w:id="15"/>
      </w:r>
      <w:r w:rsidRPr="00F03192">
        <w:rPr>
          <w:rFonts w:ascii="Avenir Book" w:hAnsi="Avenir Book"/>
          <w:color w:val="000000" w:themeColor="text1"/>
        </w:rPr>
        <w:t xml:space="preserve"> An analogy with what Gadamer calls </w:t>
      </w:r>
      <w:r w:rsidRPr="00F03192">
        <w:rPr>
          <w:rFonts w:ascii="Avenir Book" w:hAnsi="Avenir Book"/>
          <w:color w:val="000000" w:themeColor="text1"/>
        </w:rPr>
        <w:lastRenderedPageBreak/>
        <w:t>“the experience of art” is telling. It is perfectly possible for me to analyze an artwork from a formal academic perspective and attempt to assess its intrinsic aesthetic qualities. It is, however, axiomatic for Gadamer that such aestheticism does not constitute an “experience of art” since the latter entails an overwhelming sense of being directly addressed––directed, if not corrected. It is axiomatic for Gadamer that art “speaks to us” directly and immediately. The directness of its address has phenomenological priority over the considerations of aesthetic judgement.</w:t>
      </w:r>
    </w:p>
    <w:p w14:paraId="473D117B" w14:textId="42267BDD" w:rsidR="00F03192" w:rsidRPr="00F03192" w:rsidRDefault="00F03192" w:rsidP="007F549D">
      <w:pPr>
        <w:ind w:left="720"/>
        <w:rPr>
          <w:rFonts w:ascii="Avenir Book" w:hAnsi="Avenir Book"/>
          <w:color w:val="000000" w:themeColor="text1"/>
        </w:rPr>
      </w:pPr>
      <w:r w:rsidRPr="00F03192">
        <w:rPr>
          <w:rFonts w:ascii="Avenir Book" w:hAnsi="Avenir Book"/>
          <w:color w:val="000000" w:themeColor="text1"/>
        </w:rPr>
        <w:t xml:space="preserve">The consciousness of art––the aesthetic consciousness is always secondary to </w:t>
      </w:r>
      <w:r w:rsidRPr="00F03192">
        <w:rPr>
          <w:rFonts w:ascii="Avenir Book" w:hAnsi="Avenir Book"/>
          <w:i/>
          <w:iCs/>
          <w:color w:val="000000" w:themeColor="text1"/>
        </w:rPr>
        <w:t xml:space="preserve">the immediate truth-claim </w:t>
      </w:r>
      <w:r w:rsidRPr="00F03192">
        <w:rPr>
          <w:rFonts w:ascii="Avenir Book" w:hAnsi="Avenir Book"/>
          <w:color w:val="000000" w:themeColor="text1"/>
        </w:rPr>
        <w:t xml:space="preserve">that proceeds from the work of art itself. To this extent, when we judge a work of art </w:t>
      </w:r>
      <w:proofErr w:type="gramStart"/>
      <w:r w:rsidRPr="00F03192">
        <w:rPr>
          <w:rFonts w:ascii="Avenir Book" w:hAnsi="Avenir Book"/>
          <w:color w:val="000000" w:themeColor="text1"/>
        </w:rPr>
        <w:t>on the basis of</w:t>
      </w:r>
      <w:proofErr w:type="gramEnd"/>
      <w:r w:rsidRPr="00F03192">
        <w:rPr>
          <w:rFonts w:ascii="Avenir Book" w:hAnsi="Avenir Book"/>
          <w:color w:val="000000" w:themeColor="text1"/>
        </w:rPr>
        <w:t xml:space="preserve"> its aesthetic quality, something that is </w:t>
      </w:r>
      <w:proofErr w:type="gramStart"/>
      <w:r w:rsidRPr="00F03192">
        <w:rPr>
          <w:rFonts w:ascii="Avenir Book" w:hAnsi="Avenir Book"/>
          <w:color w:val="000000" w:themeColor="text1"/>
        </w:rPr>
        <w:t>really much</w:t>
      </w:r>
      <w:proofErr w:type="gramEnd"/>
      <w:r w:rsidRPr="00F03192">
        <w:rPr>
          <w:rFonts w:ascii="Avenir Book" w:hAnsi="Avenir Book"/>
          <w:color w:val="000000" w:themeColor="text1"/>
        </w:rPr>
        <w:t xml:space="preserve"> more intimate and familiar to us is alienated. This alienation into aesthetic judgement always takes place when we have withdrawn ourselves and are no longer open to </w:t>
      </w:r>
      <w:r w:rsidRPr="00F03192">
        <w:rPr>
          <w:rFonts w:ascii="Avenir Book" w:hAnsi="Avenir Book"/>
          <w:i/>
          <w:iCs/>
          <w:color w:val="000000" w:themeColor="text1"/>
        </w:rPr>
        <w:t>the immediate claim of that which grasps us.</w:t>
      </w:r>
      <w:r w:rsidRPr="00F03192">
        <w:rPr>
          <w:rFonts w:ascii="Avenir Book" w:hAnsi="Avenir Book"/>
          <w:color w:val="000000" w:themeColor="text1"/>
          <w:vertAlign w:val="superscript"/>
        </w:rPr>
        <w:footnoteReference w:id="16"/>
      </w:r>
      <w:r w:rsidRPr="00F03192">
        <w:rPr>
          <w:rFonts w:ascii="Avenir Book" w:hAnsi="Avenir Book"/>
          <w:color w:val="000000" w:themeColor="text1"/>
        </w:rPr>
        <w:t xml:space="preserve"> </w:t>
      </w:r>
    </w:p>
    <w:p w14:paraId="2AD6C84F" w14:textId="77777777" w:rsidR="00F03192" w:rsidRPr="00723610" w:rsidRDefault="00F03192" w:rsidP="00F03192">
      <w:pPr>
        <w:ind w:firstLine="720"/>
        <w:rPr>
          <w:rFonts w:ascii="Avenir Book" w:hAnsi="Avenir Book"/>
          <w:color w:val="000000" w:themeColor="text1"/>
        </w:rPr>
      </w:pPr>
      <w:r w:rsidRPr="00F03192">
        <w:rPr>
          <w:rFonts w:ascii="Avenir Book" w:hAnsi="Avenir Book"/>
          <w:color w:val="000000" w:themeColor="text1"/>
        </w:rPr>
        <w:t>It is this ability of art to speak so directly that constitutes its claim to truth.</w:t>
      </w:r>
      <w:r w:rsidRPr="00F03192">
        <w:rPr>
          <w:rFonts w:ascii="Avenir Book" w:hAnsi="Avenir Book"/>
          <w:color w:val="000000" w:themeColor="text1"/>
          <w:vertAlign w:val="superscript"/>
        </w:rPr>
        <w:footnoteReference w:id="17"/>
      </w:r>
      <w:r w:rsidRPr="00F03192">
        <w:rPr>
          <w:rFonts w:ascii="Avenir Book" w:hAnsi="Avenir Book"/>
          <w:color w:val="000000" w:themeColor="text1"/>
        </w:rPr>
        <w:t xml:space="preserve"> The analogy with prayerful meditation and its truthfulness is clear: </w:t>
      </w:r>
      <w:r w:rsidRPr="00F03192">
        <w:rPr>
          <w:rFonts w:ascii="Avenir Book" w:hAnsi="Avenir Book"/>
          <w:i/>
          <w:iCs/>
          <w:color w:val="000000" w:themeColor="text1"/>
        </w:rPr>
        <w:t>prayer involves the practice of preparing the appropriate openness to receiving the address of that which speaks to one.</w:t>
      </w:r>
      <w:r w:rsidRPr="00F03192">
        <w:rPr>
          <w:rFonts w:ascii="Avenir Book" w:hAnsi="Avenir Book"/>
          <w:color w:val="000000" w:themeColor="text1"/>
        </w:rPr>
        <w:t xml:space="preserve"> Let us now develop these suggestions.</w:t>
      </w:r>
    </w:p>
    <w:p w14:paraId="577F09AD" w14:textId="77777777" w:rsidR="005E1E3B" w:rsidRPr="005E1E3B" w:rsidRDefault="005E1E3B" w:rsidP="005E1E3B">
      <w:pPr>
        <w:ind w:firstLine="720"/>
        <w:rPr>
          <w:rFonts w:ascii="Avenir Book" w:hAnsi="Avenir Book"/>
          <w:color w:val="000000" w:themeColor="text1"/>
        </w:rPr>
      </w:pPr>
      <w:r w:rsidRPr="005E1E3B">
        <w:rPr>
          <w:rFonts w:ascii="Avenir Book" w:hAnsi="Avenir Book"/>
          <w:color w:val="000000" w:themeColor="text1"/>
        </w:rPr>
        <w:t>The previous points establish that considered as a meditational practice of open attentiveness, prayer is perfectly plausible if not desirable in a post-metaphysical realm of being. Indeed, the analogy with the “experience of art” permits a further claim. The practice of prayer, considered from a hermeneutic perspective, is something “on-going,” a living vital (</w:t>
      </w:r>
      <w:proofErr w:type="spellStart"/>
      <w:r w:rsidRPr="005E1E3B">
        <w:rPr>
          <w:rFonts w:ascii="Avenir Book" w:hAnsi="Avenir Book"/>
          <w:i/>
          <w:iCs/>
          <w:color w:val="000000" w:themeColor="text1"/>
        </w:rPr>
        <w:t>Erfahrung</w:t>
      </w:r>
      <w:proofErr w:type="spellEnd"/>
      <w:r w:rsidRPr="005E1E3B">
        <w:rPr>
          <w:rFonts w:ascii="Avenir Book" w:hAnsi="Avenir Book"/>
          <w:color w:val="000000" w:themeColor="text1"/>
        </w:rPr>
        <w:t xml:space="preserve">) which we undergo because we undertake it. It is </w:t>
      </w:r>
      <w:r w:rsidRPr="005E1E3B">
        <w:rPr>
          <w:rFonts w:ascii="Avenir Book" w:hAnsi="Avenir Book"/>
          <w:i/>
          <w:iCs/>
          <w:color w:val="000000" w:themeColor="text1"/>
        </w:rPr>
        <w:t>the continuous practice of opening oneself towards the possibility an anticipated disclosure.</w:t>
      </w:r>
      <w:r w:rsidRPr="005E1E3B">
        <w:rPr>
          <w:rFonts w:ascii="Avenir Book" w:hAnsi="Avenir Book"/>
          <w:color w:val="000000" w:themeColor="text1"/>
          <w:vertAlign w:val="superscript"/>
        </w:rPr>
        <w:footnoteReference w:id="18"/>
      </w:r>
      <w:r w:rsidRPr="005E1E3B">
        <w:rPr>
          <w:rFonts w:ascii="Avenir Book" w:hAnsi="Avenir Book"/>
          <w:color w:val="000000" w:themeColor="text1"/>
        </w:rPr>
        <w:t xml:space="preserve"> This gives rise to a potential paradox. </w:t>
      </w:r>
    </w:p>
    <w:p w14:paraId="3FA3258A" w14:textId="77777777" w:rsidR="005E1E3B" w:rsidRPr="005E1E3B" w:rsidRDefault="005E1E3B" w:rsidP="005E1E3B">
      <w:pPr>
        <w:ind w:firstLine="720"/>
        <w:rPr>
          <w:rFonts w:ascii="Avenir Book" w:hAnsi="Avenir Book"/>
          <w:color w:val="000000" w:themeColor="text1"/>
        </w:rPr>
      </w:pPr>
      <w:r w:rsidRPr="005E1E3B">
        <w:rPr>
          <w:rFonts w:ascii="Avenir Book" w:hAnsi="Avenir Book"/>
          <w:color w:val="000000" w:themeColor="text1"/>
        </w:rPr>
        <w:t xml:space="preserve">On the one hand, what discloses itself in the practice of prayer is given in the voice of the first-person: it is “I” who am being addressed. On the other hand, in so far as it is a </w:t>
      </w:r>
      <w:r w:rsidRPr="005E1E3B">
        <w:rPr>
          <w:rFonts w:ascii="Avenir Book" w:hAnsi="Avenir Book"/>
          <w:color w:val="000000" w:themeColor="text1"/>
        </w:rPr>
        <w:lastRenderedPageBreak/>
        <w:t xml:space="preserve">dialogical practice, prayer is also </w:t>
      </w:r>
      <w:r w:rsidRPr="005E1E3B">
        <w:rPr>
          <w:rFonts w:ascii="Avenir Book" w:hAnsi="Avenir Book"/>
          <w:i/>
          <w:iCs/>
          <w:color w:val="000000" w:themeColor="text1"/>
        </w:rPr>
        <w:t>social</w:t>
      </w:r>
      <w:r w:rsidRPr="005E1E3B">
        <w:rPr>
          <w:rFonts w:ascii="Avenir Book" w:hAnsi="Avenir Book"/>
          <w:color w:val="000000" w:themeColor="text1"/>
        </w:rPr>
        <w:t xml:space="preserve"> practice with its own norms and historical conventions albeit that the latter are clearly malleable. The social dimension of prayer is immediately emphasized by the fact that even if the act of prayer is restricted to a process of being in dialogue with oneself, the act of prayer is constituted as a language act and as such is necessarily grounded in a “language-game.” However, being-grounded in a language-game is not the same as being reduced to a language game. This is made clear by the ontological dimensions of dialogue which are clearly rooted in language-being.</w:t>
      </w:r>
    </w:p>
    <w:p w14:paraId="70E3E3FD" w14:textId="7A8B2D84" w:rsidR="005E1E3B" w:rsidRPr="005E1E3B" w:rsidRDefault="005E1E3B" w:rsidP="005E1E3B">
      <w:pPr>
        <w:ind w:firstLine="720"/>
        <w:rPr>
          <w:rFonts w:ascii="Avenir Book" w:hAnsi="Avenir Book"/>
          <w:color w:val="000000" w:themeColor="text1"/>
        </w:rPr>
      </w:pPr>
      <w:r w:rsidRPr="005E1E3B">
        <w:rPr>
          <w:rFonts w:ascii="Avenir Book" w:hAnsi="Avenir Book"/>
          <w:color w:val="000000" w:themeColor="text1"/>
        </w:rPr>
        <w:t xml:space="preserve">Dialogue either between interlocutors or between oneself and a text is much more than an exchange of assertions, statements, or sentences. Dialogue cannot be reduced to an exchange of socially established linguistic codes. It also reveals something of the language-being which sustains every individual exchange and yet transcends them at the same time. This brings us to one of our principal contentions; </w:t>
      </w:r>
      <w:r w:rsidRPr="005E1E3B">
        <w:rPr>
          <w:rFonts w:ascii="Avenir Book" w:hAnsi="Avenir Book"/>
          <w:i/>
          <w:iCs/>
          <w:color w:val="000000" w:themeColor="text1"/>
        </w:rPr>
        <w:t xml:space="preserve">the practice of prayer </w:t>
      </w:r>
      <w:proofErr w:type="gramStart"/>
      <w:r w:rsidRPr="005E1E3B">
        <w:rPr>
          <w:rFonts w:ascii="Avenir Book" w:hAnsi="Avenir Book"/>
          <w:i/>
          <w:iCs/>
          <w:color w:val="000000" w:themeColor="text1"/>
        </w:rPr>
        <w:t>opens up</w:t>
      </w:r>
      <w:proofErr w:type="gramEnd"/>
      <w:r w:rsidRPr="005E1E3B">
        <w:rPr>
          <w:rFonts w:ascii="Avenir Book" w:hAnsi="Avenir Book"/>
          <w:i/>
          <w:iCs/>
          <w:color w:val="000000" w:themeColor="text1"/>
        </w:rPr>
        <w:t xml:space="preserve"> the transcendent (aspects of language being) it is embedded in</w:t>
      </w:r>
      <w:r w:rsidRPr="005E1E3B">
        <w:rPr>
          <w:rFonts w:ascii="Avenir Book" w:hAnsi="Avenir Book"/>
          <w:color w:val="000000" w:themeColor="text1"/>
        </w:rPr>
        <w:t xml:space="preserve">. Mediation and other prayerful practices both open-on-to and </w:t>
      </w:r>
      <w:proofErr w:type="gramStart"/>
      <w:r w:rsidRPr="005E1E3B">
        <w:rPr>
          <w:rFonts w:ascii="Avenir Book" w:hAnsi="Avenir Book"/>
          <w:color w:val="000000" w:themeColor="text1"/>
        </w:rPr>
        <w:t>open up</w:t>
      </w:r>
      <w:proofErr w:type="gramEnd"/>
      <w:r w:rsidRPr="005E1E3B">
        <w:rPr>
          <w:rFonts w:ascii="Avenir Book" w:hAnsi="Avenir Book"/>
          <w:color w:val="000000" w:themeColor="text1"/>
        </w:rPr>
        <w:t xml:space="preserve"> the speculative dimensions of language-being and its boundless possibilities for meaningfulness. Prayerful practice is, indeed, a process of considerable moment and happening. This returns us to our opening remark: </w:t>
      </w:r>
      <w:r w:rsidRPr="005E1E3B">
        <w:rPr>
          <w:rFonts w:ascii="Avenir Book" w:hAnsi="Avenir Book"/>
          <w:i/>
          <w:iCs/>
          <w:color w:val="000000" w:themeColor="text1"/>
        </w:rPr>
        <w:t>we understand the practice of prayer by coming to understand what prayer enables us to understand.</w:t>
      </w:r>
      <w:r w:rsidRPr="005E1E3B">
        <w:rPr>
          <w:rFonts w:ascii="Avenir Book" w:hAnsi="Avenir Book"/>
          <w:color w:val="000000" w:themeColor="text1"/>
        </w:rPr>
        <w:t xml:space="preserve"> In other words, the nature of a prayerful or meditational practice can only be unfolded from within, in the doing of it: it must be embraced, participated in and its effects mapped out and felt. It is not to be reduced to an object of theoretical scrutiny whether sociological or historical. As a dialogical practice, prayer can indeed be understood by what it discloses and what it discloses is the condition of its own possibility––i.e., its rootedness in language-being. </w:t>
      </w:r>
    </w:p>
    <w:p w14:paraId="71AE5E56" w14:textId="0CDC4D39" w:rsidR="005E1E3B" w:rsidRPr="005E1E3B" w:rsidRDefault="005E1E3B" w:rsidP="005E1E3B">
      <w:pPr>
        <w:ind w:firstLine="720"/>
        <w:rPr>
          <w:rFonts w:ascii="Avenir Book" w:hAnsi="Avenir Book"/>
          <w:color w:val="000000" w:themeColor="text1"/>
        </w:rPr>
      </w:pPr>
      <w:r w:rsidRPr="005E1E3B">
        <w:rPr>
          <w:rFonts w:ascii="Avenir Book" w:hAnsi="Avenir Book"/>
          <w:color w:val="000000" w:themeColor="text1"/>
        </w:rPr>
        <w:t xml:space="preserve">Through its showing, the practice reveals what it does and, thereby, legitimates itself as a disclosive practice. Central to this dynamic is the ontological grounding of linguistic consciousness in what Gadamer calls language-being. Differently put, as an act of linguistic consciousness, the practice of prayer </w:t>
      </w:r>
      <w:proofErr w:type="gramStart"/>
      <w:r w:rsidRPr="005E1E3B">
        <w:rPr>
          <w:rFonts w:ascii="Avenir Book" w:hAnsi="Avenir Book"/>
          <w:color w:val="000000" w:themeColor="text1"/>
        </w:rPr>
        <w:t>opens up</w:t>
      </w:r>
      <w:proofErr w:type="gramEnd"/>
      <w:r w:rsidRPr="005E1E3B">
        <w:rPr>
          <w:rFonts w:ascii="Avenir Book" w:hAnsi="Avenir Book"/>
          <w:color w:val="000000" w:themeColor="text1"/>
        </w:rPr>
        <w:t xml:space="preserve"> the language-being sustaining it. </w:t>
      </w:r>
      <w:r w:rsidRPr="005E1E3B">
        <w:rPr>
          <w:rFonts w:ascii="Avenir Book" w:hAnsi="Avenir Book"/>
          <w:i/>
          <w:iCs/>
          <w:color w:val="000000" w:themeColor="text1"/>
        </w:rPr>
        <w:t>The ontological grounding of linguistic consciousness in language-being is key to the argument that concerned prayer is a mode of revealing.</w:t>
      </w:r>
      <w:r w:rsidRPr="005E1E3B">
        <w:rPr>
          <w:rFonts w:ascii="Avenir Book" w:hAnsi="Avenir Book"/>
          <w:color w:val="000000" w:themeColor="text1"/>
        </w:rPr>
        <w:t xml:space="preserve"> The meaning of any significant subject-matter within an individual</w:t>
      </w:r>
      <w:r w:rsidRPr="005E1E3B">
        <w:rPr>
          <w:rFonts w:ascii="Avenir Book" w:hAnsi="Avenir Book"/>
          <w:color w:val="000000" w:themeColor="text1"/>
          <w:rtl/>
        </w:rPr>
        <w:t>’</w:t>
      </w:r>
      <w:r w:rsidRPr="005E1E3B">
        <w:rPr>
          <w:rFonts w:ascii="Avenir Book" w:hAnsi="Avenir Book"/>
          <w:color w:val="000000" w:themeColor="text1"/>
        </w:rPr>
        <w:t>s linguistic consciousness is connected to broader networks of historical, etymological, and philological meaning. These transcend a subjectivity</w:t>
      </w:r>
      <w:r w:rsidRPr="005E1E3B">
        <w:rPr>
          <w:rFonts w:ascii="Avenir Book" w:hAnsi="Avenir Book"/>
          <w:color w:val="000000" w:themeColor="text1"/>
          <w:rtl/>
        </w:rPr>
        <w:t>’</w:t>
      </w:r>
      <w:r w:rsidRPr="005E1E3B">
        <w:rPr>
          <w:rFonts w:ascii="Avenir Book" w:hAnsi="Avenir Book"/>
          <w:color w:val="000000" w:themeColor="text1"/>
        </w:rPr>
        <w:t xml:space="preserve">s immediate awareness and form a numinous excess of other possible meanings. The opening of this speculative horizon reveals to subjective consciousness different ways of transcending the limitations of its understanding. Put another way, like hermeneutic reflection, prayerful practice operationalizes the infinite capacity of language to mean more. It opens the differential space within which all meaning shows itself as speculative. Although no one word or concept can capture the totality </w:t>
      </w:r>
      <w:r w:rsidRPr="005E1E3B">
        <w:rPr>
          <w:rFonts w:ascii="Avenir Book" w:hAnsi="Avenir Book"/>
          <w:color w:val="000000" w:themeColor="text1"/>
        </w:rPr>
        <w:lastRenderedPageBreak/>
        <w:t xml:space="preserve">of meaning to which it belongs, linguistic connectivity implies that any one word or concept can evoke speculatively the totality of inter-connected meanings in which it is entangled, glimmering as it were on the edge of linguistic consciousness. Without initially knowing it, linguistic consciousness is deeply embedded in the objective (trans-individual) structures of language-being. These are aptly described by the Japanese philosopher Nishihira as that </w:t>
      </w:r>
      <w:r w:rsidRPr="005E1E3B">
        <w:rPr>
          <w:rFonts w:ascii="Avenir Book" w:hAnsi="Avenir Book"/>
          <w:color w:val="000000" w:themeColor="text1"/>
          <w:rtl/>
        </w:rPr>
        <w:t>“</w:t>
      </w:r>
      <w:r w:rsidRPr="005E1E3B">
        <w:rPr>
          <w:rFonts w:ascii="Avenir Book" w:hAnsi="Avenir Book"/>
          <w:color w:val="000000" w:themeColor="text1"/>
        </w:rPr>
        <w:t xml:space="preserve">which is mine and yet transcends me,” as those moving frameworks of understanding that are both </w:t>
      </w:r>
      <w:r w:rsidRPr="005E1E3B">
        <w:rPr>
          <w:rFonts w:ascii="Avenir Book" w:hAnsi="Avenir Book"/>
          <w:color w:val="000000" w:themeColor="text1"/>
          <w:rtl/>
        </w:rPr>
        <w:t>“</w:t>
      </w:r>
      <w:r w:rsidRPr="005E1E3B">
        <w:rPr>
          <w:rFonts w:ascii="Avenir Book" w:hAnsi="Avenir Book"/>
          <w:color w:val="000000" w:themeColor="text1"/>
        </w:rPr>
        <w:t>through me yet not by me.”</w:t>
      </w:r>
      <w:r w:rsidRPr="005E1E3B">
        <w:rPr>
          <w:rFonts w:ascii="Avenir Book" w:hAnsi="Avenir Book"/>
          <w:color w:val="000000" w:themeColor="text1"/>
          <w:vertAlign w:val="superscript"/>
        </w:rPr>
        <w:footnoteReference w:id="19"/>
      </w:r>
      <w:r w:rsidRPr="005E1E3B">
        <w:rPr>
          <w:rFonts w:ascii="Avenir Book" w:hAnsi="Avenir Book"/>
          <w:color w:val="000000" w:themeColor="text1"/>
        </w:rPr>
        <w:t xml:space="preserve"> The greater the participation of linguistic consciousness in language-being, the greater the realization of possible meanings enfolded in its horizons. What envelopes each linguistic consciousness, indeed, what the practice of prayer </w:t>
      </w:r>
      <w:proofErr w:type="gramStart"/>
      <w:r w:rsidRPr="005E1E3B">
        <w:rPr>
          <w:rFonts w:ascii="Avenir Book" w:hAnsi="Avenir Book"/>
          <w:color w:val="000000" w:themeColor="text1"/>
        </w:rPr>
        <w:t>opens up</w:t>
      </w:r>
      <w:proofErr w:type="gramEnd"/>
      <w:r w:rsidRPr="005E1E3B">
        <w:rPr>
          <w:rFonts w:ascii="Avenir Book" w:hAnsi="Avenir Book"/>
          <w:color w:val="000000" w:themeColor="text1"/>
        </w:rPr>
        <w:t xml:space="preserve"> speculatively is not another different </w:t>
      </w:r>
      <w:proofErr w:type="gramStart"/>
      <w:r w:rsidRPr="005E1E3B">
        <w:rPr>
          <w:rFonts w:ascii="Avenir Book" w:hAnsi="Avenir Book"/>
          <w:color w:val="000000" w:themeColor="text1"/>
        </w:rPr>
        <w:t>world</w:t>
      </w:r>
      <w:proofErr w:type="gramEnd"/>
      <w:r w:rsidRPr="005E1E3B">
        <w:rPr>
          <w:rFonts w:ascii="Avenir Book" w:hAnsi="Avenir Book"/>
          <w:color w:val="000000" w:themeColor="text1"/>
        </w:rPr>
        <w:t xml:space="preserve"> but </w:t>
      </w:r>
      <w:r w:rsidRPr="005E1E3B">
        <w:rPr>
          <w:rFonts w:ascii="Avenir Book" w:hAnsi="Avenir Book"/>
          <w:i/>
          <w:iCs/>
          <w:color w:val="000000" w:themeColor="text1"/>
        </w:rPr>
        <w:t>this</w:t>
      </w:r>
      <w:r w:rsidRPr="005E1E3B">
        <w:rPr>
          <w:rFonts w:ascii="Avenir Book" w:hAnsi="Avenir Book"/>
          <w:color w:val="000000" w:themeColor="text1"/>
        </w:rPr>
        <w:t xml:space="preserve"> world considered as the totality of language-being in the fullness of its explicit and implicit holdings of past, present, and future meanings.</w:t>
      </w:r>
    </w:p>
    <w:p w14:paraId="49660C24" w14:textId="51C6B23A" w:rsidR="005E1E3B" w:rsidRPr="005E1E3B" w:rsidRDefault="005E1E3B" w:rsidP="005E1E3B">
      <w:pPr>
        <w:ind w:firstLine="720"/>
        <w:rPr>
          <w:rFonts w:ascii="Avenir Book" w:hAnsi="Avenir Book"/>
          <w:color w:val="000000" w:themeColor="text1"/>
        </w:rPr>
      </w:pPr>
      <w:r w:rsidRPr="005E1E3B">
        <w:rPr>
          <w:rFonts w:ascii="Avenir Book" w:hAnsi="Avenir Book"/>
          <w:color w:val="000000" w:themeColor="text1"/>
        </w:rPr>
        <w:t xml:space="preserve"> That linguistic consciousness is, ontologically speaking, subordinate to language-being affirms that linguistic consciousness is dependent on that which is outside itself. Language-being enables an effective field of experience which reaches beyond the linguistic consciousness of an individual and yet also resides within it. Without such residence, linguistic consciousness loses its connectivity to what transcends it. Nevertheless, such transcendence resides in the numinous aspects of language-being and is revealed through an individual’s speculative experience of language. The openness of language-being’s structures allows subjective consciousness to transcend its immediate linguistic and cultural placement. Tennyson’s poetry points to a subtle account of the relationship between linguistic consciousness and language-being.</w:t>
      </w:r>
    </w:p>
    <w:p w14:paraId="6AECA781" w14:textId="77777777" w:rsidR="005E1E3B" w:rsidRPr="005E1E3B" w:rsidRDefault="005E1E3B" w:rsidP="005E1E3B">
      <w:pPr>
        <w:ind w:firstLine="720"/>
        <w:rPr>
          <w:rFonts w:ascii="Avenir Book" w:hAnsi="Avenir Book"/>
          <w:color w:val="000000" w:themeColor="text1"/>
        </w:rPr>
      </w:pPr>
      <w:r w:rsidRPr="005E1E3B">
        <w:rPr>
          <w:rFonts w:ascii="Avenir Book" w:hAnsi="Avenir Book"/>
          <w:color w:val="000000" w:themeColor="text1"/>
        </w:rPr>
        <w:t xml:space="preserve">Language-being shows itself as </w:t>
      </w:r>
      <w:r w:rsidRPr="005E1E3B">
        <w:rPr>
          <w:rFonts w:ascii="Avenir Book" w:hAnsi="Avenir Book"/>
          <w:color w:val="000000" w:themeColor="text1"/>
          <w:rtl/>
        </w:rPr>
        <w:t>“</w:t>
      </w:r>
      <w:r w:rsidRPr="005E1E3B">
        <w:rPr>
          <w:rFonts w:ascii="Avenir Book" w:hAnsi="Avenir Book"/>
          <w:color w:val="000000" w:themeColor="text1"/>
        </w:rPr>
        <w:t xml:space="preserve">a tide as moving,” which </w:t>
      </w:r>
      <w:r w:rsidRPr="005E1E3B">
        <w:rPr>
          <w:rFonts w:ascii="Avenir Book" w:hAnsi="Avenir Book"/>
          <w:color w:val="000000" w:themeColor="text1"/>
          <w:rtl/>
        </w:rPr>
        <w:t>“</w:t>
      </w:r>
      <w:r w:rsidRPr="005E1E3B">
        <w:rPr>
          <w:rFonts w:ascii="Avenir Book" w:hAnsi="Avenir Book"/>
          <w:color w:val="000000" w:themeColor="text1"/>
        </w:rPr>
        <w:t xml:space="preserve">seems asleep” but draws our linguistic consciousness </w:t>
      </w:r>
      <w:r w:rsidRPr="005E1E3B">
        <w:rPr>
          <w:rFonts w:ascii="Avenir Book" w:hAnsi="Avenir Book"/>
          <w:color w:val="000000" w:themeColor="text1"/>
          <w:rtl/>
        </w:rPr>
        <w:t>“</w:t>
      </w:r>
      <w:r w:rsidRPr="005E1E3B">
        <w:rPr>
          <w:rFonts w:ascii="Avenir Book" w:hAnsi="Avenir Book"/>
          <w:color w:val="000000" w:themeColor="text1"/>
        </w:rPr>
        <w:t>from out [its] boundless deep.”</w:t>
      </w:r>
      <w:r w:rsidRPr="005E1E3B">
        <w:rPr>
          <w:rFonts w:ascii="Avenir Book" w:hAnsi="Avenir Book"/>
          <w:color w:val="000000" w:themeColor="text1"/>
          <w:vertAlign w:val="superscript"/>
        </w:rPr>
        <w:footnoteReference w:id="20"/>
      </w:r>
      <w:r w:rsidRPr="005E1E3B">
        <w:rPr>
          <w:rFonts w:ascii="Avenir Book" w:hAnsi="Avenir Book"/>
          <w:color w:val="000000" w:themeColor="text1"/>
        </w:rPr>
        <w:t xml:space="preserve"> Though I may “be born of time and place,” the flood of language-being “may carry me far” into realms of transformative meaningfulness beyond anything that my limited linguistic consciousness might anticipate. Tennyson</w:t>
      </w:r>
      <w:r w:rsidRPr="005E1E3B">
        <w:rPr>
          <w:rFonts w:ascii="Avenir Book" w:hAnsi="Avenir Book"/>
          <w:color w:val="000000" w:themeColor="text1"/>
          <w:rtl/>
        </w:rPr>
        <w:t>’</w:t>
      </w:r>
      <w:r w:rsidRPr="005E1E3B">
        <w:rPr>
          <w:rFonts w:ascii="Avenir Book" w:hAnsi="Avenir Book"/>
          <w:color w:val="000000" w:themeColor="text1"/>
        </w:rPr>
        <w:t>s imagery aptly conveys how language-being as the numinous ground of linguistic consciousness enables the latter to transcend its initial limitations.</w:t>
      </w:r>
    </w:p>
    <w:p w14:paraId="636D3A3A" w14:textId="38857541" w:rsidR="005E1E3B" w:rsidRPr="00723610" w:rsidRDefault="00952593" w:rsidP="00952593">
      <w:pPr>
        <w:pStyle w:val="Heading2"/>
        <w:numPr>
          <w:ilvl w:val="0"/>
          <w:numId w:val="3"/>
        </w:numPr>
        <w:spacing w:after="200"/>
        <w:rPr>
          <w:rFonts w:ascii="Avenir Book" w:hAnsi="Avenir Book"/>
          <w:color w:val="000000" w:themeColor="text1"/>
        </w:rPr>
      </w:pPr>
      <w:r w:rsidRPr="00723610">
        <w:rPr>
          <w:rFonts w:ascii="Avenir Book" w:hAnsi="Avenir Book"/>
          <w:color w:val="000000" w:themeColor="text1"/>
        </w:rPr>
        <w:t>Language, Act, and Revelation</w:t>
      </w:r>
    </w:p>
    <w:p w14:paraId="0E52E0FB" w14:textId="77777777" w:rsidR="00952593" w:rsidRPr="00723610" w:rsidRDefault="00952593" w:rsidP="00952593">
      <w:pPr>
        <w:ind w:firstLine="720"/>
        <w:rPr>
          <w:rFonts w:ascii="Avenir Book" w:hAnsi="Avenir Book"/>
          <w:color w:val="000000" w:themeColor="text1"/>
        </w:rPr>
      </w:pPr>
      <w:r w:rsidRPr="00952593">
        <w:rPr>
          <w:rFonts w:ascii="Avenir Book" w:hAnsi="Avenir Book"/>
          <w:color w:val="000000" w:themeColor="text1"/>
        </w:rPr>
        <w:t xml:space="preserve">Language-being and linguistic consciousness stand in a relation of mutual dependence. Linguistic consciousness cannot exist without language-being and language-being cannot </w:t>
      </w:r>
      <w:r w:rsidRPr="00952593">
        <w:rPr>
          <w:rFonts w:ascii="Avenir Book" w:hAnsi="Avenir Book"/>
          <w:color w:val="000000" w:themeColor="text1"/>
        </w:rPr>
        <w:lastRenderedPageBreak/>
        <w:t>sustain itself other than through the totality of linguistic agencies that perpetuate its being. The ontological enfolding of linguistic consciousness and language-being enables prayer as a practice of linguistic consciousness to open towards the transcendent objectivities of language-being in which it is grounded.</w:t>
      </w:r>
    </w:p>
    <w:p w14:paraId="23B1493B" w14:textId="77777777" w:rsidR="00952593" w:rsidRPr="00723610" w:rsidRDefault="00952593" w:rsidP="00952593">
      <w:pPr>
        <w:ind w:firstLine="720"/>
        <w:rPr>
          <w:rFonts w:ascii="Avenir Book" w:hAnsi="Avenir Book"/>
          <w:color w:val="000000" w:themeColor="text1"/>
        </w:rPr>
      </w:pPr>
      <w:r w:rsidRPr="00952593">
        <w:rPr>
          <w:rFonts w:ascii="Avenir Book" w:hAnsi="Avenir Book"/>
          <w:color w:val="000000" w:themeColor="text1"/>
        </w:rPr>
        <w:t>Initiating prayer involves, as the Quaker tradition describes, an act of centering-down. Whether the act takes place within a meditational process or in the expedition of a liturgical practice, any instrumental or literal approach to language is abandoned in favor of a reflective or poetical receptiveness that is open to language</w:t>
      </w:r>
      <w:r w:rsidRPr="00952593">
        <w:rPr>
          <w:rFonts w:ascii="Avenir Book" w:hAnsi="Avenir Book"/>
          <w:color w:val="000000" w:themeColor="text1"/>
          <w:rtl/>
        </w:rPr>
        <w:t>’</w:t>
      </w:r>
      <w:r w:rsidRPr="00952593">
        <w:rPr>
          <w:rFonts w:ascii="Avenir Book" w:hAnsi="Avenir Book"/>
          <w:color w:val="000000" w:themeColor="text1"/>
        </w:rPr>
        <w:t xml:space="preserve">s speculative powers of evocation. Such meditational or prayerful de-centering demands aesthetic distance from the everyday language world of statements </w:t>
      </w:r>
      <w:proofErr w:type="gramStart"/>
      <w:r w:rsidRPr="00952593">
        <w:rPr>
          <w:rFonts w:ascii="Avenir Book" w:hAnsi="Avenir Book"/>
          <w:color w:val="000000" w:themeColor="text1"/>
        </w:rPr>
        <w:t>in order to</w:t>
      </w:r>
      <w:proofErr w:type="gramEnd"/>
      <w:r w:rsidRPr="00952593">
        <w:rPr>
          <w:rFonts w:ascii="Avenir Book" w:hAnsi="Avenir Book"/>
          <w:color w:val="000000" w:themeColor="text1"/>
        </w:rPr>
        <w:t xml:space="preserve"> develop an acuter sense of the poetic resonances within language</w:t>
      </w:r>
      <w:r w:rsidRPr="00952593">
        <w:rPr>
          <w:rFonts w:ascii="Avenir Book" w:hAnsi="Avenir Book"/>
          <w:color w:val="000000" w:themeColor="text1"/>
          <w:rtl/>
        </w:rPr>
        <w:t>’</w:t>
      </w:r>
      <w:r w:rsidRPr="00952593">
        <w:rPr>
          <w:rFonts w:ascii="Avenir Book" w:hAnsi="Avenir Book"/>
          <w:color w:val="000000" w:themeColor="text1"/>
        </w:rPr>
        <w:t xml:space="preserve">s speculative horizons. What the practice of prayer </w:t>
      </w:r>
      <w:proofErr w:type="gramStart"/>
      <w:r w:rsidRPr="00952593">
        <w:rPr>
          <w:rFonts w:ascii="Avenir Book" w:hAnsi="Avenir Book"/>
          <w:color w:val="000000" w:themeColor="text1"/>
        </w:rPr>
        <w:t>opens up</w:t>
      </w:r>
      <w:proofErr w:type="gramEnd"/>
      <w:r w:rsidRPr="00952593">
        <w:rPr>
          <w:rFonts w:ascii="Avenir Book" w:hAnsi="Avenir Book"/>
          <w:color w:val="000000" w:themeColor="text1"/>
        </w:rPr>
        <w:t xml:space="preserve"> is, crucially, a differential space between linguistic consciousness and language-being––i.e., the hermeneutical space between the conventional or customary meaning of a term and how it (because of its rootedness in etymological and historical networks of meaning) also speaks to other configurations of meaning. The emergence of this differential space within prayerful practice offers an insight into why the attentiveness of prayerful meditation is often described as empowering. </w:t>
      </w:r>
    </w:p>
    <w:p w14:paraId="5F75F27D" w14:textId="4A9DD2EA" w:rsidR="00952593" w:rsidRPr="00723610" w:rsidRDefault="00952593" w:rsidP="00952593">
      <w:pPr>
        <w:ind w:firstLine="720"/>
        <w:rPr>
          <w:rFonts w:ascii="Avenir Book" w:hAnsi="Avenir Book"/>
          <w:color w:val="000000" w:themeColor="text1"/>
        </w:rPr>
      </w:pPr>
      <w:r w:rsidRPr="00952593">
        <w:rPr>
          <w:rFonts w:ascii="Avenir Book" w:hAnsi="Avenir Book"/>
          <w:color w:val="000000" w:themeColor="text1"/>
        </w:rPr>
        <w:t xml:space="preserve">Prayerful practice empowers because it opens the differential space between linguistic consciousness and language being. This is the heightened space of subjective awareness. No longer constrained by the conventional established meanings of words or concepts, the emergent space created by the hermeneutic differential allows linguistic consciousness to see how everyday language is edged by a speculative complexity. Prayerful practice allows the speculative imagination to roam more freely. No longer is a word or concept seen as a point of fixity impervious to alteration but, on the contrary, it reveals itself as a permeable site through which its speculative entanglement with other meanings and ways of thinking can be glimpsed. The transition from the constraints of linguistic consciousness to the broader, freer, speculative horizons of language-being manifests itself in an experience of empowerment. No longer restrained by the close-at-hand, subjective consciousness senses an increase in the possible range of its ways of thinking. </w:t>
      </w:r>
      <w:r w:rsidRPr="00952593">
        <w:rPr>
          <w:rFonts w:ascii="Avenir Book" w:hAnsi="Avenir Book"/>
          <w:i/>
          <w:iCs/>
          <w:color w:val="000000" w:themeColor="text1"/>
        </w:rPr>
        <w:t>Speculative awareness expands a sense of existential possibility.</w:t>
      </w:r>
      <w:r w:rsidRPr="00952593">
        <w:rPr>
          <w:rFonts w:ascii="Avenir Book" w:hAnsi="Avenir Book"/>
          <w:color w:val="000000" w:themeColor="text1"/>
        </w:rPr>
        <w:t xml:space="preserve"> By opening the speculative horizons of language, prayer releases us into a sense of the wondrous. The infinite possibilities for creative engagement held within language-being glimmer suggestively before us. In other words, the act of prayer discloses our rootedness in the hermeneutical sublime and, in so doing, the act reveals the condition of its own possibility. This substantiates our central claim: we </w:t>
      </w:r>
      <w:proofErr w:type="gramStart"/>
      <w:r w:rsidRPr="00952593">
        <w:rPr>
          <w:rFonts w:ascii="Avenir Book" w:hAnsi="Avenir Book"/>
          <w:color w:val="000000" w:themeColor="text1"/>
        </w:rPr>
        <w:t>are able to</w:t>
      </w:r>
      <w:proofErr w:type="gramEnd"/>
      <w:r w:rsidRPr="00952593">
        <w:rPr>
          <w:rFonts w:ascii="Avenir Book" w:hAnsi="Avenir Book"/>
          <w:color w:val="000000" w:themeColor="text1"/>
        </w:rPr>
        <w:t xml:space="preserve"> “understand” the act of prayer as hermeneutical because it brings into reflection the ontological conditions which render it </w:t>
      </w:r>
      <w:r w:rsidRPr="00952593">
        <w:rPr>
          <w:rFonts w:ascii="Avenir Book" w:hAnsi="Avenir Book"/>
          <w:color w:val="000000" w:themeColor="text1"/>
        </w:rPr>
        <w:lastRenderedPageBreak/>
        <w:t xml:space="preserve">explicable. </w:t>
      </w:r>
      <w:r w:rsidRPr="00952593">
        <w:rPr>
          <w:rFonts w:ascii="Avenir Book" w:hAnsi="Avenir Book"/>
          <w:i/>
          <w:iCs/>
          <w:color w:val="000000" w:themeColor="text1"/>
        </w:rPr>
        <w:t xml:space="preserve">By doing what it does, the act of prayer reveals what it </w:t>
      </w:r>
      <w:proofErr w:type="gramStart"/>
      <w:r w:rsidRPr="00952593">
        <w:rPr>
          <w:rFonts w:ascii="Avenir Book" w:hAnsi="Avenir Book"/>
          <w:i/>
          <w:iCs/>
          <w:color w:val="000000" w:themeColor="text1"/>
        </w:rPr>
        <w:t>is;</w:t>
      </w:r>
      <w:proofErr w:type="gramEnd"/>
      <w:r w:rsidRPr="00952593">
        <w:rPr>
          <w:rFonts w:ascii="Avenir Book" w:hAnsi="Avenir Book"/>
          <w:i/>
          <w:iCs/>
          <w:color w:val="000000" w:themeColor="text1"/>
        </w:rPr>
        <w:t xml:space="preserve"> an act of opening</w:t>
      </w:r>
      <w:r w:rsidRPr="00952593">
        <w:rPr>
          <w:rFonts w:ascii="Avenir Book" w:hAnsi="Avenir Book"/>
          <w:color w:val="000000" w:themeColor="text1"/>
        </w:rPr>
        <w:t xml:space="preserve">. This establishes prayerful practice as a spiritual act, an act of empowerment which allows the individual to move more freely in the opening spaces of possible meaningfulness within language-being.   </w:t>
      </w:r>
    </w:p>
    <w:p w14:paraId="2FF2B2CC" w14:textId="2A0F1205" w:rsidR="0014398F" w:rsidRPr="00723610" w:rsidRDefault="0014398F" w:rsidP="0014398F">
      <w:pPr>
        <w:pStyle w:val="Heading2"/>
        <w:numPr>
          <w:ilvl w:val="0"/>
          <w:numId w:val="3"/>
        </w:numPr>
        <w:spacing w:after="200"/>
        <w:rPr>
          <w:rFonts w:ascii="Avenir Book" w:hAnsi="Avenir Book"/>
          <w:color w:val="000000" w:themeColor="text1"/>
        </w:rPr>
      </w:pPr>
      <w:r w:rsidRPr="00723610">
        <w:rPr>
          <w:rFonts w:ascii="Avenir Book" w:hAnsi="Avenir Book"/>
          <w:color w:val="000000" w:themeColor="text1"/>
        </w:rPr>
        <w:t>Spirit, Movement, Empowerment</w:t>
      </w:r>
    </w:p>
    <w:p w14:paraId="2951C801"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The reflective shift from linguistic consciousness to an awareness of the speculative character of language-being occasions a very specific understanding of spirituality. Gadamer claims that an experience of movement is key to a phenomenological understanding of spirituality.</w:t>
      </w:r>
      <w:r w:rsidRPr="0014398F">
        <w:rPr>
          <w:rFonts w:ascii="Avenir Book" w:hAnsi="Avenir Book"/>
          <w:color w:val="000000" w:themeColor="text1"/>
          <w:vertAlign w:val="superscript"/>
        </w:rPr>
        <w:footnoteReference w:id="21"/>
      </w:r>
      <w:r w:rsidRPr="0014398F">
        <w:rPr>
          <w:rFonts w:ascii="Avenir Book" w:hAnsi="Avenir Book"/>
          <w:color w:val="000000" w:themeColor="text1"/>
        </w:rPr>
        <w:t xml:space="preserve"> Christian Lotz also speaks of the spiritual as a “transitionary moment,” a “becoming and forming moment.”</w:t>
      </w:r>
      <w:r w:rsidRPr="0014398F">
        <w:rPr>
          <w:rFonts w:ascii="Avenir Book" w:hAnsi="Avenir Book"/>
          <w:color w:val="000000" w:themeColor="text1"/>
          <w:vertAlign w:val="superscript"/>
        </w:rPr>
        <w:footnoteReference w:id="22"/>
      </w:r>
      <w:r w:rsidRPr="0014398F">
        <w:rPr>
          <w:rFonts w:ascii="Avenir Book" w:hAnsi="Avenir Book"/>
          <w:color w:val="000000" w:themeColor="text1"/>
        </w:rPr>
        <w:t xml:space="preserve"> The notion of the spiritual as a “transitionary moment”</w:t>
      </w:r>
      <w:r w:rsidRPr="0014398F">
        <w:rPr>
          <w:rFonts w:ascii="Avenir Book" w:hAnsi="Avenir Book"/>
          <w:color w:val="000000" w:themeColor="text1"/>
          <w:rtl/>
        </w:rPr>
        <w:t xml:space="preserve"> </w:t>
      </w:r>
      <w:r w:rsidRPr="0014398F">
        <w:rPr>
          <w:rFonts w:ascii="Avenir Book" w:hAnsi="Avenir Book"/>
          <w:color w:val="000000" w:themeColor="text1"/>
        </w:rPr>
        <w:t xml:space="preserve">emphasizes that the practice of prayer considered as a language act can occasion a release into speculative wonder and possibility. The practice, in effect, opens the differential space between linguistic consciousness and language-being. A crucial point needs to be raised here. What is of key importance in understanding the spiritual aspect of prayer’s transitionary moment is not so much </w:t>
      </w:r>
      <w:r w:rsidRPr="0014398F">
        <w:rPr>
          <w:rFonts w:ascii="Avenir Book" w:hAnsi="Avenir Book"/>
          <w:i/>
          <w:iCs/>
          <w:color w:val="000000" w:themeColor="text1"/>
        </w:rPr>
        <w:t xml:space="preserve">what </w:t>
      </w:r>
      <w:r w:rsidRPr="0014398F">
        <w:rPr>
          <w:rFonts w:ascii="Avenir Book" w:hAnsi="Avenir Book"/>
          <w:color w:val="000000" w:themeColor="text1"/>
        </w:rPr>
        <w:t xml:space="preserve">the practice opens-out-on-to (i.e., other meanings or insights) but the act of </w:t>
      </w:r>
      <w:r w:rsidRPr="0014398F">
        <w:rPr>
          <w:rFonts w:ascii="Avenir Book" w:hAnsi="Avenir Book"/>
          <w:i/>
          <w:iCs/>
          <w:color w:val="000000" w:themeColor="text1"/>
        </w:rPr>
        <w:t>opening</w:t>
      </w:r>
      <w:r w:rsidRPr="0014398F">
        <w:rPr>
          <w:rFonts w:ascii="Avenir Book" w:hAnsi="Avenir Book"/>
          <w:color w:val="000000" w:themeColor="text1"/>
        </w:rPr>
        <w:t xml:space="preserve"> itself. Prayerful practice initiates this transitionary passage which takes us “away from which” (away from the constraint of conventional, doctrinal or dogmatic meanings) and a “towards which” (towards the enticement and excitement of the hermeneutic sublimity of language-being with its infinity of actual and potential meanings). Prayer and meditational practice entail a phenomenological experience of both release and expectation. The experience of this transitionary moment constitutes the spirituality of prayerful practice. It is the transitionary moment that engages us, drawing us into the promise of release and expectation.  Prayerful practice draws us into the transformative motion of the betwixt and the between. The practice moves, on the one hand, between release from the containment of everyday horizons of meaning and sensing, on the other hand, the nearness and exhilarating openness of the hermeneutic sublime (language-being) with its incalculable potential for meaningfulness. The hermeneutical subject (linguistic consciousness) knows that because of its apophatic entanglements in language-being, it is already enfolded in constellations of possible meaning that stretch beyond its immediate consciousness. Prayerful practice is “spirited”:  it enlivens and intensifies an awareness of the open and potentially transformative hermeneutical spaces within language-being. Indeed, by opening the differential space between linguistic consciousness and language-being, </w:t>
      </w:r>
      <w:r w:rsidRPr="0014398F">
        <w:rPr>
          <w:rFonts w:ascii="Avenir Book" w:hAnsi="Avenir Book"/>
          <w:i/>
          <w:iCs/>
          <w:color w:val="000000" w:themeColor="text1"/>
        </w:rPr>
        <w:t xml:space="preserve">prayerful practice creates the very space that </w:t>
      </w:r>
      <w:r w:rsidRPr="0014398F">
        <w:rPr>
          <w:rFonts w:ascii="Avenir Book" w:hAnsi="Avenir Book"/>
          <w:i/>
          <w:iCs/>
          <w:color w:val="000000" w:themeColor="text1"/>
        </w:rPr>
        <w:lastRenderedPageBreak/>
        <w:t>hermeneutical reflection moves within.</w:t>
      </w:r>
      <w:r w:rsidRPr="0014398F">
        <w:rPr>
          <w:rFonts w:ascii="Avenir Book" w:hAnsi="Avenir Book"/>
          <w:color w:val="000000" w:themeColor="text1"/>
        </w:rPr>
        <w:t xml:space="preserve"> This brings us to our final claim: prayerful practice is not reducible to a specific religious or meditational tradition. To the contrary, it reflects in its power of “bringing into the open,” a universal phenomenological structure that articulates the vital differential space between linguistic consciousness (irrespective of the language of that consciousness) and language-being itself. </w:t>
      </w:r>
    </w:p>
    <w:p w14:paraId="6933CBAC"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As a language act and irrespective of its originating language, prayerful practice is part of a language game. However, a practice is not reducible to the rules of a given game. It is what arises in the playing of that game, and it is what is brought into play by it that matters. Whether the enabling practice belongs to Christian, Jewish or Buddhist liturgical practice is not the point. It is what involvement in such practices bring into the open that matters. What discloses itself is, as we have argued, the differential space between the specific language act of a given consciousness and the universal language-being that sustains it. It is this transitionary moment which is above all the achievement of prayerful practice.</w:t>
      </w:r>
    </w:p>
    <w:p w14:paraId="6087EF68"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 xml:space="preserve">Language and its forms </w:t>
      </w:r>
      <w:proofErr w:type="gramStart"/>
      <w:r w:rsidRPr="0014398F">
        <w:rPr>
          <w:rFonts w:ascii="Avenir Book" w:hAnsi="Avenir Book"/>
          <w:color w:val="000000" w:themeColor="text1"/>
        </w:rPr>
        <w:t>come-forth</w:t>
      </w:r>
      <w:proofErr w:type="gramEnd"/>
      <w:r w:rsidRPr="0014398F">
        <w:rPr>
          <w:rFonts w:ascii="Avenir Book" w:hAnsi="Avenir Book"/>
          <w:color w:val="000000" w:themeColor="text1"/>
        </w:rPr>
        <w:t xml:space="preserve"> in its presentational acts. As foundational spontaneous emergences, such acts </w:t>
      </w:r>
      <w:r w:rsidRPr="0014398F">
        <w:rPr>
          <w:rFonts w:ascii="Avenir Book" w:hAnsi="Avenir Book"/>
          <w:i/>
          <w:iCs/>
          <w:color w:val="000000" w:themeColor="text1"/>
        </w:rPr>
        <w:t>show</w:t>
      </w:r>
      <w:r w:rsidRPr="0014398F">
        <w:rPr>
          <w:rFonts w:ascii="Avenir Book" w:hAnsi="Avenir Book"/>
          <w:color w:val="000000" w:themeColor="text1"/>
        </w:rPr>
        <w:t xml:space="preserve"> themselves. In philosophical hermeneutics, language is a performative act: it brings a form of life into being. Language and its forms are epiphanic. They announce themselves: there is no getting beyond or behind language-being to explain its forms. However, as a language act, prayerful activity does not bring a specific form into being. The differential space between linguistic consciousness and language-being is not a form but a generative space within which spontaneous emergences of meaning and insight can take place. This is consistent with the suggestion that prayerful activity opens a </w:t>
      </w:r>
      <w:r w:rsidRPr="0014398F">
        <w:rPr>
          <w:rFonts w:ascii="Avenir Book" w:hAnsi="Avenir Book"/>
          <w:i/>
          <w:iCs/>
          <w:color w:val="000000" w:themeColor="text1"/>
        </w:rPr>
        <w:t>transitionary</w:t>
      </w:r>
      <w:r w:rsidRPr="0014398F">
        <w:rPr>
          <w:rFonts w:ascii="Avenir Book" w:hAnsi="Avenir Book"/>
          <w:color w:val="000000" w:themeColor="text1"/>
        </w:rPr>
        <w:t xml:space="preserve"> space. This in turn implies that language-being maintains itself in a condition of constant movement understood as the perpetual interpenetration and co-origination of the co-dependents part and whole within language-being. </w:t>
      </w:r>
    </w:p>
    <w:p w14:paraId="645CCAFA"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 xml:space="preserve">We have presented language-being as the totality of actual, past, and potential meanings which collectively constitute the </w:t>
      </w:r>
      <w:proofErr w:type="gramStart"/>
      <w:r w:rsidRPr="0014398F">
        <w:rPr>
          <w:rFonts w:ascii="Avenir Book" w:hAnsi="Avenir Book"/>
          <w:i/>
          <w:iCs/>
          <w:color w:val="000000" w:themeColor="text1"/>
        </w:rPr>
        <w:t>bio-</w:t>
      </w:r>
      <w:r w:rsidRPr="0014398F">
        <w:rPr>
          <w:rFonts w:ascii="Avenir Book" w:hAnsi="Avenir Book"/>
          <w:color w:val="000000" w:themeColor="text1"/>
        </w:rPr>
        <w:t>sphere</w:t>
      </w:r>
      <w:proofErr w:type="gramEnd"/>
      <w:r w:rsidRPr="0014398F">
        <w:rPr>
          <w:rFonts w:ascii="Avenir Book" w:hAnsi="Avenir Book"/>
          <w:color w:val="000000" w:themeColor="text1"/>
        </w:rPr>
        <w:t xml:space="preserve"> of language-being. The co-dependence of part and whole within language-being emphasizes that while no individual linguistic perspective can exist without the language horizons that sustain it, language-being cannot itself exist apart from the </w:t>
      </w:r>
      <w:proofErr w:type="gramStart"/>
      <w:r w:rsidRPr="0014398F">
        <w:rPr>
          <w:rFonts w:ascii="Avenir Book" w:hAnsi="Avenir Book"/>
          <w:color w:val="000000" w:themeColor="text1"/>
        </w:rPr>
        <w:t>particular linguistic</w:t>
      </w:r>
      <w:proofErr w:type="gramEnd"/>
      <w:r w:rsidRPr="0014398F">
        <w:rPr>
          <w:rFonts w:ascii="Avenir Book" w:hAnsi="Avenir Book"/>
          <w:color w:val="000000" w:themeColor="text1"/>
        </w:rPr>
        <w:t xml:space="preserve"> perspectives that make it up. The transitionary moment initiated by each language act involves the constant passing back and forth of part and whole within language-being. Each </w:t>
      </w:r>
      <w:proofErr w:type="gramStart"/>
      <w:r w:rsidRPr="0014398F">
        <w:rPr>
          <w:rFonts w:ascii="Avenir Book" w:hAnsi="Avenir Book"/>
          <w:color w:val="000000" w:themeColor="text1"/>
        </w:rPr>
        <w:t>particular expression</w:t>
      </w:r>
      <w:proofErr w:type="gramEnd"/>
      <w:r w:rsidRPr="0014398F">
        <w:rPr>
          <w:rFonts w:ascii="Avenir Book" w:hAnsi="Avenir Book"/>
          <w:color w:val="000000" w:themeColor="text1"/>
        </w:rPr>
        <w:t xml:space="preserve"> is dependent on and speculatively invokes the language-being that sustains its existence. Furthermore, language-being can only sustain itself in and through its historical and cultural particularizations. In short, prayerful practice considered as a language act </w:t>
      </w:r>
      <w:proofErr w:type="gramStart"/>
      <w:r w:rsidRPr="0014398F">
        <w:rPr>
          <w:rFonts w:ascii="Avenir Book" w:hAnsi="Avenir Book"/>
          <w:color w:val="000000" w:themeColor="text1"/>
        </w:rPr>
        <w:t>opens up</w:t>
      </w:r>
      <w:proofErr w:type="gramEnd"/>
      <w:r w:rsidRPr="0014398F">
        <w:rPr>
          <w:rFonts w:ascii="Avenir Book" w:hAnsi="Avenir Book"/>
          <w:color w:val="000000" w:themeColor="text1"/>
        </w:rPr>
        <w:t xml:space="preserve"> the differential space in which the speculative horizon of language-being comes into view, affording a glimpse of other possible </w:t>
      </w:r>
      <w:r w:rsidRPr="0014398F">
        <w:rPr>
          <w:rFonts w:ascii="Avenir Book" w:hAnsi="Avenir Book"/>
          <w:color w:val="000000" w:themeColor="text1"/>
        </w:rPr>
        <w:lastRenderedPageBreak/>
        <w:t xml:space="preserve">ways of thinking and beings. Prayerful practice releases us from the containment of very restricted or determinant ways thinking and opens a glimpse of the other possibilities for meaningfulness within language-being. In so doing, prayerful practice reveals a key aspect of human ontology. By opening the differential space between the particularities of our immediate existence and the broader speculative horizons of language-being, prayerful practice reveals the distances in which we live, distances which enable the constant transitions between part and whole upon which the life of language-being depends. Gadamer’s language ontology permits the conclusion that </w:t>
      </w:r>
      <w:r w:rsidRPr="0014398F">
        <w:rPr>
          <w:rFonts w:ascii="Avenir Book" w:hAnsi="Avenir Book"/>
          <w:i/>
          <w:iCs/>
          <w:color w:val="000000" w:themeColor="text1"/>
        </w:rPr>
        <w:t>we are prayerful creatures because we are creatures of language-being.</w:t>
      </w:r>
    </w:p>
    <w:p w14:paraId="0EA5C30A"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 xml:space="preserve">At the close this reflection we must address a question implied by the very initiation of our discussion. In these days of unfathomable cruelty, days in which it seems that much of the world has clearly forgotten the Ancient Greek wisdom that “in every stranger there is a future friend,” what justification can there be for turning inward toward prayerful reflection? Implicit in our argument is the quiet insistence that prayerful practice is not an indulgent escapism. We have argued that a key aspect of the practice of prayer is its disclosure of its enabling ground. That which makes prayer possible is its rootedness. As a language act, not only does prayerful activity disclose the language-being it depends on but </w:t>
      </w:r>
      <w:r w:rsidRPr="0014398F">
        <w:rPr>
          <w:rFonts w:ascii="Avenir Book" w:hAnsi="Avenir Book"/>
          <w:i/>
          <w:iCs/>
          <w:color w:val="000000" w:themeColor="text1"/>
        </w:rPr>
        <w:t xml:space="preserve">activates </w:t>
      </w:r>
      <w:r w:rsidRPr="0014398F">
        <w:rPr>
          <w:rFonts w:ascii="Avenir Book" w:hAnsi="Avenir Book"/>
          <w:color w:val="000000" w:themeColor="text1"/>
        </w:rPr>
        <w:t xml:space="preserve">the speculative dimensions of language-being. When I enter a prayerful mode, I do not enter a world other than this world. Rather, I engage </w:t>
      </w:r>
      <w:r w:rsidRPr="0014398F">
        <w:rPr>
          <w:rFonts w:ascii="Avenir Book" w:hAnsi="Avenir Book"/>
          <w:i/>
          <w:iCs/>
          <w:color w:val="000000" w:themeColor="text1"/>
        </w:rPr>
        <w:t xml:space="preserve">this world </w:t>
      </w:r>
      <w:r w:rsidRPr="0014398F">
        <w:rPr>
          <w:rFonts w:ascii="Avenir Book" w:hAnsi="Avenir Book"/>
          <w:color w:val="000000" w:themeColor="text1"/>
        </w:rPr>
        <w:t xml:space="preserve">but attentively with an attitude of focus. Such attentiveness does not strive to subdue the world but seeks to become receptive to what it shows of itself. Prayerful practice is an attentiveness, an apprenticing of </w:t>
      </w:r>
      <w:proofErr w:type="gramStart"/>
      <w:r w:rsidRPr="0014398F">
        <w:rPr>
          <w:rFonts w:ascii="Avenir Book" w:hAnsi="Avenir Book"/>
          <w:color w:val="000000" w:themeColor="text1"/>
        </w:rPr>
        <w:t>ourselves</w:t>
      </w:r>
      <w:proofErr w:type="gramEnd"/>
      <w:r w:rsidRPr="0014398F">
        <w:rPr>
          <w:rFonts w:ascii="Avenir Book" w:hAnsi="Avenir Book"/>
          <w:color w:val="000000" w:themeColor="text1"/>
        </w:rPr>
        <w:t xml:space="preserve"> to the world’s disclosures.</w:t>
      </w:r>
      <w:r w:rsidRPr="0014398F">
        <w:rPr>
          <w:rFonts w:ascii="Avenir Book" w:hAnsi="Avenir Book"/>
          <w:color w:val="000000" w:themeColor="text1"/>
          <w:vertAlign w:val="superscript"/>
        </w:rPr>
        <w:footnoteReference w:id="23"/>
      </w:r>
      <w:r w:rsidRPr="0014398F">
        <w:rPr>
          <w:rFonts w:ascii="Avenir Book" w:hAnsi="Avenir Book"/>
          <w:color w:val="000000" w:themeColor="text1"/>
        </w:rPr>
        <w:t xml:space="preserve"> What prayer is shows itself through the prayerful––i.e., the act of soliciting and surrendering to an opening in the hermeneutical sublime. </w:t>
      </w:r>
    </w:p>
    <w:p w14:paraId="3E0A0A95"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 xml:space="preserve">The speculative and the sublime are clearly connected in hermeneutical thinking. The </w:t>
      </w:r>
      <w:r w:rsidRPr="0014398F">
        <w:rPr>
          <w:rFonts w:ascii="Avenir Book" w:hAnsi="Avenir Book"/>
          <w:color w:val="000000" w:themeColor="text1"/>
          <w:rtl/>
        </w:rPr>
        <w:t>“</w:t>
      </w:r>
      <w:r w:rsidRPr="0014398F">
        <w:rPr>
          <w:rFonts w:ascii="Avenir Book" w:hAnsi="Avenir Book"/>
          <w:color w:val="000000" w:themeColor="text1"/>
        </w:rPr>
        <w:t xml:space="preserve">speculative” capacity of the word concerns its ability to insinuate unstated connections of meaning which though they sustain a given expression are not directly given in it. The speculative power of a word links it to the sublime: it illuminates that penumbra of unstated meanings whose presence can be sensed in the spoken but never fully grasped or conceptualized. Because of this, a word or image can always come to mean more: it insinuates a transcendent speculative dimension of meaning. The hermeneutical sublime articulates the excess of meaning within language-being, upholding its promise to always mean more. In </w:t>
      </w:r>
      <w:r w:rsidRPr="0014398F">
        <w:rPr>
          <w:rFonts w:ascii="Avenir Book" w:hAnsi="Avenir Book"/>
          <w:color w:val="000000" w:themeColor="text1"/>
        </w:rPr>
        <w:lastRenderedPageBreak/>
        <w:t xml:space="preserve">other words, </w:t>
      </w:r>
      <w:r w:rsidRPr="0014398F">
        <w:rPr>
          <w:rFonts w:ascii="Avenir Book" w:hAnsi="Avenir Book"/>
          <w:i/>
          <w:iCs/>
          <w:color w:val="000000" w:themeColor="text1"/>
        </w:rPr>
        <w:t>the transitionary space of prayerful reflection reveals not a determinate meaning but an enlivening space of possibility the edges of which glimmer with promising intimations of other ways of thinking and being.</w:t>
      </w:r>
      <w:r w:rsidRPr="0014398F">
        <w:rPr>
          <w:rFonts w:ascii="Avenir Book" w:hAnsi="Avenir Book"/>
          <w:color w:val="000000" w:themeColor="text1"/>
        </w:rPr>
        <w:t xml:space="preserve"> Prayerful practice is orientated towards keeping the promise of the possible open and in view. By keeping the horizons of possibility open, it resists the crushing determinacies of the everyday. Opening the transitionary spaces of the hermeneutic sublime is, perhaps, the true goal of prayerful practice phenomenologically conceived. It discloses a realm of open possibility that reaches well beyond the everyday limitations and constraints of linguistic consciousness. The appearance of the speculative dimensions of language-being offers glimpses of something distinctly different––i.e., the possibility or promise of something larger, the intimation of a greater completeness or meaningfulness yet to come.  Becoming conscious of the speculative dimensions of language-being promotes a double insight: on the one hand, coming to an awareness that linguistic consciousness is limited in what it can grasp of the totality of what language-being affirms; on the other hand, that there is something beyond,  indeed, that there is always something more to be grasped, and, indeed, something more to be hoped for.</w:t>
      </w:r>
      <w:r w:rsidRPr="0014398F">
        <w:rPr>
          <w:rFonts w:ascii="Avenir Book" w:hAnsi="Avenir Book"/>
          <w:i/>
          <w:iCs/>
          <w:color w:val="000000" w:themeColor="text1"/>
        </w:rPr>
        <w:t xml:space="preserve"> The clear practical value of prayerful activity is, then, that it keeps the enabling horizon of the possible open. </w:t>
      </w:r>
      <w:r w:rsidRPr="0014398F">
        <w:rPr>
          <w:rFonts w:ascii="Avenir Book" w:hAnsi="Avenir Book"/>
          <w:color w:val="000000" w:themeColor="text1"/>
        </w:rPr>
        <w:t xml:space="preserve">Prayerful activity does not disclose what to do but draws us towards a vivifying awareness of the presence of the possible, of what might yet be done. Prayerful activity affirms the possibility of hope for something other which is already held within language-being. Such attentiveness is far from escapist: it is a necessary prelude for opening pathways to clear and directed activity.  </w:t>
      </w:r>
    </w:p>
    <w:p w14:paraId="313E7222"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This paper has proposed a hermeneutics of prayer. It has addressed the following questions: (1) How, in an age deeply suspicious of other-worldly religion, is prayerful activity to be understood? (2) How is such activity to be justified and on what claim-to-truth is it grounded? (3) What is the relationship between prayerful activity and philosophical hermeneutics, and exactly what does prayerful activity reveal about the nature of hermeneutical thought?</w:t>
      </w:r>
    </w:p>
    <w:p w14:paraId="3BA92108"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Regarding (1), we have argued that prayerful activity is by no means restricted to the petitionary.  Gadamer</w:t>
      </w:r>
      <w:r w:rsidRPr="0014398F">
        <w:rPr>
          <w:rFonts w:ascii="Avenir Book" w:hAnsi="Avenir Book"/>
          <w:color w:val="000000" w:themeColor="text1"/>
          <w:rtl/>
        </w:rPr>
        <w:t>’</w:t>
      </w:r>
      <w:r w:rsidRPr="0014398F">
        <w:rPr>
          <w:rFonts w:ascii="Avenir Book" w:hAnsi="Avenir Book"/>
          <w:color w:val="000000" w:themeColor="text1"/>
        </w:rPr>
        <w:t xml:space="preserve">s language-ontology suggests that as a language act the practice of prayer indicates that coming to a consciousness of “openness” is a primordial experience, a phenomenological universality shared by all language creatures who live, have lived, and will live in the differential spaces of language-being. Such a primordial experience of openness with its attendant sense of wonder for the speculative horizons of meaning which both sustain and reach beyond linguistic consciousness precedes and transcends the limitations of institutionalized religion. Given this, a “secular” prayerful practice is clearly possible, since as a primordial experience of the differential spaces within language-being, it is ontologically prior </w:t>
      </w:r>
      <w:r w:rsidRPr="0014398F">
        <w:rPr>
          <w:rFonts w:ascii="Avenir Book" w:hAnsi="Avenir Book"/>
          <w:color w:val="000000" w:themeColor="text1"/>
        </w:rPr>
        <w:lastRenderedPageBreak/>
        <w:t xml:space="preserve">to the emergence of formalized religion upon which, after all, the very definition of the secular depends. Asserting the primordial experience of openness as ontologically prior to religious interpretations of it dissolves the basis upon what experience can be described as secular. Laying claim to the ontological priority of the experience of openness demonstrates not just the possibility of a prayerful mode of being but asserts its living actuality. </w:t>
      </w:r>
    </w:p>
    <w:p w14:paraId="0ECC631D"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 xml:space="preserve">With reference to (2), How is prayerful activity to be justified and on what claim to-truth is it </w:t>
      </w:r>
      <w:proofErr w:type="gramStart"/>
      <w:r w:rsidRPr="0014398F">
        <w:rPr>
          <w:rFonts w:ascii="Avenir Book" w:hAnsi="Avenir Book"/>
          <w:color w:val="000000" w:themeColor="text1"/>
        </w:rPr>
        <w:t>grounded?,</w:t>
      </w:r>
      <w:proofErr w:type="gramEnd"/>
      <w:r w:rsidRPr="0014398F">
        <w:rPr>
          <w:rFonts w:ascii="Avenir Book" w:hAnsi="Avenir Book"/>
          <w:color w:val="000000" w:themeColor="text1"/>
        </w:rPr>
        <w:t xml:space="preserve"> our argument has been that once the practice of prayer is conceived as a language act it becomes self-justifying for two reasons. As a mode of language-being, prayerful activity is clearly mediated by the forms of language which considered ontologically are spontaneous acts of emergence. Language and its forms are epiphanic: there is no getting beyond or behind language-being to explain its forms. </w:t>
      </w:r>
      <w:r w:rsidRPr="0014398F">
        <w:rPr>
          <w:rFonts w:ascii="Avenir Book" w:hAnsi="Avenir Book"/>
          <w:i/>
          <w:iCs/>
          <w:color w:val="000000" w:themeColor="text1"/>
        </w:rPr>
        <w:t xml:space="preserve">As a language-act, what justifies prayerful activity is that it brings into the open its own enabling ground. </w:t>
      </w:r>
      <w:r w:rsidRPr="0014398F">
        <w:rPr>
          <w:rFonts w:ascii="Avenir Book" w:hAnsi="Avenir Book"/>
          <w:color w:val="000000" w:themeColor="text1"/>
        </w:rPr>
        <w:t xml:space="preserve">It discloses the transcendent aspects of language-being it is embedded in. The practice opens-on-to and opens-up the speculative dimensions of language-being disclosing its boundless possibilities for meaningfulness. This affirms our central claim: </w:t>
      </w:r>
      <w:r w:rsidRPr="0014398F">
        <w:rPr>
          <w:rFonts w:ascii="Avenir Book" w:hAnsi="Avenir Book"/>
          <w:i/>
          <w:iCs/>
          <w:color w:val="000000" w:themeColor="text1"/>
        </w:rPr>
        <w:t xml:space="preserve">we understand the practice of prayer by coming to understand what it reveals––i.e., the speculative dimensions of language-being. </w:t>
      </w:r>
      <w:r w:rsidRPr="0014398F">
        <w:rPr>
          <w:rFonts w:ascii="Avenir Book" w:hAnsi="Avenir Book"/>
          <w:color w:val="000000" w:themeColor="text1"/>
        </w:rPr>
        <w:t xml:space="preserve">The truth of what the act of prayer discloses can only be confirmed by the experience of coming into that openness of horizon which affords a liberating glimpse of other configurations of meaning and ways of being. The prayerful entails an accepting attentiveness to the ever-present movement of understanding and its speculative entailments, entailments which always point beyond what we presently understand. This tells us something of the transcendent space of openness which the prayerful discloses. Prayerful activity does not disclose language-being </w:t>
      </w:r>
      <w:r w:rsidRPr="0014398F">
        <w:rPr>
          <w:rFonts w:ascii="Avenir Book" w:hAnsi="Avenir Book"/>
          <w:i/>
          <w:iCs/>
          <w:color w:val="000000" w:themeColor="text1"/>
        </w:rPr>
        <w:t xml:space="preserve">per se: </w:t>
      </w:r>
      <w:r w:rsidRPr="0014398F">
        <w:rPr>
          <w:rFonts w:ascii="Avenir Book" w:hAnsi="Avenir Book"/>
          <w:color w:val="000000" w:themeColor="text1"/>
        </w:rPr>
        <w:t>it</w:t>
      </w:r>
      <w:r w:rsidRPr="0014398F">
        <w:rPr>
          <w:rFonts w:ascii="Avenir Book" w:hAnsi="Avenir Book"/>
          <w:i/>
          <w:iCs/>
          <w:color w:val="000000" w:themeColor="text1"/>
        </w:rPr>
        <w:t xml:space="preserve"> </w:t>
      </w:r>
      <w:r w:rsidRPr="0014398F">
        <w:rPr>
          <w:rFonts w:ascii="Avenir Book" w:hAnsi="Avenir Book"/>
          <w:color w:val="000000" w:themeColor="text1"/>
        </w:rPr>
        <w:t xml:space="preserve">insinuates its presence from the speculative inference of every determinate expression of meaning; it opens the differential space </w:t>
      </w:r>
      <w:r w:rsidRPr="0014398F">
        <w:rPr>
          <w:rFonts w:ascii="Avenir Book" w:hAnsi="Avenir Book"/>
          <w:i/>
          <w:iCs/>
          <w:color w:val="000000" w:themeColor="text1"/>
        </w:rPr>
        <w:t>between</w:t>
      </w:r>
      <w:r w:rsidRPr="0014398F">
        <w:rPr>
          <w:rFonts w:ascii="Avenir Book" w:hAnsi="Avenir Book"/>
          <w:color w:val="000000" w:themeColor="text1"/>
        </w:rPr>
        <w:t xml:space="preserve"> the infinite (language-being considered as the totality of all actual and possible meaningfulness) and the finite (those determinate language acts from which the totality of language </w:t>
      </w:r>
      <w:proofErr w:type="gramStart"/>
      <w:r w:rsidRPr="0014398F">
        <w:rPr>
          <w:rFonts w:ascii="Avenir Book" w:hAnsi="Avenir Book"/>
          <w:color w:val="000000" w:themeColor="text1"/>
        </w:rPr>
        <w:t>being can be</w:t>
      </w:r>
      <w:proofErr w:type="gramEnd"/>
      <w:r w:rsidRPr="0014398F">
        <w:rPr>
          <w:rFonts w:ascii="Avenir Book" w:hAnsi="Avenir Book"/>
          <w:color w:val="000000" w:themeColor="text1"/>
        </w:rPr>
        <w:t xml:space="preserve"> inferred.) The prayerful inhabits the in-between of this differential and, in so doing, reveals the ground of its own possibility. </w:t>
      </w:r>
    </w:p>
    <w:p w14:paraId="226F5224" w14:textId="77777777" w:rsidR="0014398F"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 xml:space="preserve">And so, finally, (3): What is the relationship between prayerful activity and philosophical hermeneutics? What does prayerful activity reveal about the nature of hermeneutical reflection? We have argued that the practice of being prayerful is a preparing for, an act of steadying-down in readiness for becoming receptive to the opening horizons of possibility which infer the presence of the numinous world of language-being. Given Gadamer’s equation of the spirit with the movement of understanding, our argument implies that there is a spiritual moment in hermeneutic understanding. However, this moment does not entail grasping a </w:t>
      </w:r>
      <w:r w:rsidRPr="0014398F">
        <w:rPr>
          <w:rFonts w:ascii="Avenir Book" w:hAnsi="Avenir Book"/>
          <w:color w:val="000000" w:themeColor="text1"/>
        </w:rPr>
        <w:lastRenderedPageBreak/>
        <w:t xml:space="preserve">determinate moment of insight or achieving command of a decisive interpretation. To the contrary, the hermeneutical shift in understanding arises in that transitioning moment when clearing one’s mind of the everyday makes ready for a glimpse of the speculative dimension of language-being. It involves that transitionary moment of inference when the speculative discloses itself at the edges of language’s horizons. Put another way, the prayerful opens us to the </w:t>
      </w:r>
      <w:r w:rsidRPr="0014398F">
        <w:rPr>
          <w:rFonts w:ascii="Avenir Book" w:hAnsi="Avenir Book"/>
          <w:i/>
          <w:iCs/>
          <w:color w:val="000000" w:themeColor="text1"/>
        </w:rPr>
        <w:t>possibility</w:t>
      </w:r>
      <w:r w:rsidRPr="0014398F">
        <w:rPr>
          <w:rFonts w:ascii="Avenir Book" w:hAnsi="Avenir Book"/>
          <w:color w:val="000000" w:themeColor="text1"/>
        </w:rPr>
        <w:t xml:space="preserve"> of </w:t>
      </w:r>
      <w:r w:rsidRPr="0014398F">
        <w:rPr>
          <w:rFonts w:ascii="Avenir Book" w:hAnsi="Avenir Book"/>
          <w:i/>
          <w:iCs/>
          <w:color w:val="000000" w:themeColor="text1"/>
        </w:rPr>
        <w:t>other</w:t>
      </w:r>
      <w:r w:rsidRPr="0014398F">
        <w:rPr>
          <w:rFonts w:ascii="Avenir Book" w:hAnsi="Avenir Book"/>
          <w:color w:val="000000" w:themeColor="text1"/>
        </w:rPr>
        <w:t xml:space="preserve"> words, to other meanings or to other ways of seeing. Prayerful being resides in the momentary in-between of “arrival” and “departure.” Whilst the flow of this transitioning moment draws us away from the short-sightedness of the everyday, it also pulls us towards the insight that there is no necessity to our habitual perspectives. The emergence of speculative awareness within prayerful being points both to the very contingency of our everyday perspectives and affords a glimpse of alternative possibilities to our established ways of thinking and being. </w:t>
      </w:r>
    </w:p>
    <w:p w14:paraId="28ED3E26" w14:textId="23AEE601" w:rsidR="00F03192" w:rsidRPr="00723610" w:rsidRDefault="0014398F" w:rsidP="0014398F">
      <w:pPr>
        <w:ind w:firstLine="720"/>
        <w:rPr>
          <w:rFonts w:ascii="Avenir Book" w:hAnsi="Avenir Book"/>
          <w:color w:val="000000" w:themeColor="text1"/>
        </w:rPr>
      </w:pPr>
      <w:r w:rsidRPr="0014398F">
        <w:rPr>
          <w:rFonts w:ascii="Avenir Book" w:hAnsi="Avenir Book"/>
          <w:color w:val="000000" w:themeColor="text1"/>
        </w:rPr>
        <w:t>At the beginning of this discussion, it was suggested that the merit of a philosophical orientation can be judged by the light it throws on questions it does not initially seek to address. In relation to the respective questions of how we who live in a deeply secular age are to understand prayer, its claims and its effects, philosophical hermeneutics and its categories prove notably efficacious. Though Gadamer</w:t>
      </w:r>
      <w:r w:rsidRPr="0014398F">
        <w:rPr>
          <w:rFonts w:ascii="Avenir Book" w:hAnsi="Avenir Book"/>
          <w:color w:val="000000" w:themeColor="text1"/>
          <w:rtl/>
        </w:rPr>
        <w:t>’</w:t>
      </w:r>
      <w:r w:rsidRPr="0014398F">
        <w:rPr>
          <w:rFonts w:ascii="Avenir Book" w:hAnsi="Avenir Book"/>
          <w:color w:val="000000" w:themeColor="text1"/>
        </w:rPr>
        <w:t xml:space="preserve">s hermeneutics does not specifically concern itself with religious experience, its pre-occupation with matters of meaningful experience and language ontology develops conceptual tools extraordinarily well-suited to unravelling the experience of prayer and its underlying ontological entailments. The interaction between linguistic consciousness and language-being establishes the generative space of the hermeneutic differential. The opening of this space is central to our hermeneutical account of prayer, which, while attentive to the limitations of the contingent world, remains expectant of the possibility of meanings less fragmented. In establishing this space, prayerful practice reveals its ground in language-being and, crucially, demonstrates that language-being is transcendent––no meditative practice can encompass its ontological ground.  This is the basis of the strong claim: </w:t>
      </w:r>
      <w:r w:rsidRPr="0014398F">
        <w:rPr>
          <w:rFonts w:ascii="Avenir Book" w:hAnsi="Avenir Book"/>
          <w:i/>
          <w:iCs/>
          <w:color w:val="000000" w:themeColor="text1"/>
        </w:rPr>
        <w:t>the experience of opening which prayerful practice affords is anterior to institutionalized religion: the very human experience of “opening towards” and of “being opened by” precedes the religious overlays subsequently placed upon it.</w:t>
      </w:r>
      <w:r w:rsidRPr="0014398F">
        <w:rPr>
          <w:rFonts w:ascii="Avenir Book" w:hAnsi="Avenir Book"/>
          <w:color w:val="000000" w:themeColor="text1"/>
        </w:rPr>
        <w:t xml:space="preserve"> In other words, it is our being as linguistic creatures that “opens us” towards the language-being in which we are grounded and not any specific religious disposition. The revelation of prayer</w:t>
      </w:r>
      <w:r w:rsidRPr="0014398F">
        <w:rPr>
          <w:rFonts w:ascii="Avenir Book" w:hAnsi="Avenir Book"/>
          <w:color w:val="000000" w:themeColor="text1"/>
          <w:rtl/>
        </w:rPr>
        <w:t>’</w:t>
      </w:r>
      <w:r w:rsidRPr="0014398F">
        <w:rPr>
          <w:rFonts w:ascii="Avenir Book" w:hAnsi="Avenir Book"/>
          <w:color w:val="000000" w:themeColor="text1"/>
        </w:rPr>
        <w:t xml:space="preserve">s hermeneutical basis in language-ontology uncovers the spiritual dimension within the practice of hermeneutics. Residing in the differential space between linguistic consciousness and language-being is to live in that openness which makes ready for those disclosures of meaningfulness, which, </w:t>
      </w:r>
      <w:r w:rsidRPr="0014398F">
        <w:rPr>
          <w:rFonts w:ascii="Avenir Book" w:hAnsi="Avenir Book"/>
          <w:i/>
          <w:iCs/>
          <w:color w:val="000000" w:themeColor="text1"/>
        </w:rPr>
        <w:t>via</w:t>
      </w:r>
      <w:r w:rsidRPr="0014398F">
        <w:rPr>
          <w:rFonts w:ascii="Avenir Book" w:hAnsi="Avenir Book"/>
          <w:color w:val="000000" w:themeColor="text1"/>
        </w:rPr>
        <w:t xml:space="preserve"> word or image, have yet to come. In a post-metaphysical world, a hermeneutics of prayer is, then, both possible and meaningful. The practice of prayerful-</w:t>
      </w:r>
      <w:r w:rsidRPr="0014398F">
        <w:rPr>
          <w:rFonts w:ascii="Avenir Book" w:hAnsi="Avenir Book"/>
          <w:color w:val="000000" w:themeColor="text1"/>
        </w:rPr>
        <w:lastRenderedPageBreak/>
        <w:t xml:space="preserve">openness and the skills of being disciplined in meditative attentiveness are essential elements in making ready for understanding’s disclosures. The prayerful is hermeneutical, and the hermeneutical is prayerful: both usher us into that primordial space of openness in which we surrender to the </w:t>
      </w:r>
      <w:r w:rsidRPr="0014398F">
        <w:rPr>
          <w:rFonts w:ascii="Avenir Book" w:hAnsi="Avenir Book"/>
          <w:i/>
          <w:iCs/>
          <w:color w:val="000000" w:themeColor="text1"/>
        </w:rPr>
        <w:t>possibilities</w:t>
      </w:r>
      <w:r w:rsidRPr="0014398F">
        <w:rPr>
          <w:rFonts w:ascii="Avenir Book" w:hAnsi="Avenir Book"/>
          <w:color w:val="000000" w:themeColor="text1"/>
        </w:rPr>
        <w:t xml:space="preserve"> of what is to come. In conclusion, the transitionary moments which enable understanding’s unfolding passages require of linguistic consciousness a foundational openness to the transformative possibilities held with language-being. The foregoing hermeneutical reflections on prayer reveal that its attentiveness to what is yet to be revealed depends on an opening of the differential space between linguistic consciousness and language being. If so, the corollary is clear. The ability of hermeneutic reflection to be receptive to what language-being has yet to disclose depends upon a focused, attentive, if not prayerful openness to the as-yet-unrealized possibilities for future understanding. Indeed, </w:t>
      </w:r>
      <w:r w:rsidRPr="0014398F">
        <w:rPr>
          <w:rFonts w:ascii="Avenir Book" w:hAnsi="Avenir Book"/>
          <w:i/>
          <w:iCs/>
          <w:color w:val="000000" w:themeColor="text1"/>
        </w:rPr>
        <w:t>such expectant openness to the possible is, arguably, a necessary pre-condition of all future learning and transformation.</w:t>
      </w:r>
      <w:r w:rsidRPr="0014398F">
        <w:rPr>
          <w:rFonts w:ascii="Avenir Book" w:hAnsi="Avenir Book"/>
          <w:color w:val="000000" w:themeColor="text1"/>
        </w:rPr>
        <w:t xml:space="preserve"> Without a prayerful acquaintance with primordial openness, hermeneutical understanding is deprived of that transitionary space upon which its transformative unfolding depends. </w:t>
      </w:r>
    </w:p>
    <w:p w14:paraId="0A7AF680" w14:textId="58EF9A8A" w:rsidR="00B51346" w:rsidRPr="00723610" w:rsidRDefault="00DC6204" w:rsidP="00B51346">
      <w:pPr>
        <w:pStyle w:val="Heading2"/>
        <w:spacing w:after="200"/>
        <w:rPr>
          <w:rFonts w:ascii="Avenir Book" w:hAnsi="Avenir Book"/>
          <w:color w:val="000000" w:themeColor="text1"/>
        </w:rPr>
      </w:pPr>
      <w:r>
        <w:rPr>
          <w:rFonts w:ascii="Avenir Book" w:hAnsi="Avenir Book"/>
          <w:color w:val="000000" w:themeColor="text1"/>
        </w:rPr>
        <w:t>Bibliography</w:t>
      </w:r>
    </w:p>
    <w:p w14:paraId="499262D5" w14:textId="77777777" w:rsidR="004458BC" w:rsidRPr="004458BC" w:rsidRDefault="004458BC" w:rsidP="004458BC">
      <w:pPr>
        <w:spacing w:before="120" w:after="120" w:line="240" w:lineRule="auto"/>
        <w:ind w:left="720" w:hanging="720"/>
        <w:rPr>
          <w:rFonts w:ascii="Avenir Book" w:hAnsi="Avenir Book"/>
          <w:i/>
          <w:iCs/>
          <w:color w:val="000000" w:themeColor="text1"/>
        </w:rPr>
      </w:pPr>
      <w:proofErr w:type="spellStart"/>
      <w:r w:rsidRPr="004458BC">
        <w:rPr>
          <w:rFonts w:ascii="Avenir Book" w:hAnsi="Avenir Book"/>
          <w:color w:val="000000" w:themeColor="text1"/>
        </w:rPr>
        <w:t>Bibikhin</w:t>
      </w:r>
      <w:proofErr w:type="spellEnd"/>
      <w:r w:rsidRPr="004458BC">
        <w:rPr>
          <w:rFonts w:ascii="Avenir Book" w:hAnsi="Avenir Book"/>
          <w:color w:val="000000" w:themeColor="text1"/>
        </w:rPr>
        <w:t>,</w:t>
      </w:r>
      <w:r w:rsidRPr="004458BC">
        <w:rPr>
          <w:rFonts w:ascii="Avenir Book" w:hAnsi="Avenir Book"/>
          <w:i/>
          <w:iCs/>
          <w:color w:val="000000" w:themeColor="text1"/>
        </w:rPr>
        <w:t xml:space="preserve"> </w:t>
      </w:r>
      <w:r w:rsidRPr="004458BC">
        <w:rPr>
          <w:rFonts w:ascii="Avenir Book" w:hAnsi="Avenir Book"/>
          <w:color w:val="000000" w:themeColor="text1"/>
        </w:rPr>
        <w:t xml:space="preserve">Vladimir. </w:t>
      </w:r>
      <w:r w:rsidRPr="004458BC">
        <w:rPr>
          <w:rFonts w:ascii="Avenir Book" w:hAnsi="Avenir Book"/>
          <w:i/>
          <w:iCs/>
          <w:color w:val="000000" w:themeColor="text1"/>
        </w:rPr>
        <w:t xml:space="preserve">The Woods. </w:t>
      </w:r>
      <w:r w:rsidRPr="004458BC">
        <w:rPr>
          <w:rFonts w:ascii="Avenir Book" w:hAnsi="Avenir Book"/>
          <w:color w:val="000000" w:themeColor="text1"/>
        </w:rPr>
        <w:t>Polity,</w:t>
      </w:r>
      <w:r w:rsidRPr="004458BC">
        <w:rPr>
          <w:rFonts w:ascii="Avenir Book" w:hAnsi="Avenir Book"/>
          <w:i/>
          <w:iCs/>
          <w:color w:val="000000" w:themeColor="text1"/>
        </w:rPr>
        <w:t xml:space="preserve"> </w:t>
      </w:r>
      <w:r w:rsidRPr="004458BC">
        <w:rPr>
          <w:rFonts w:ascii="Avenir Book" w:hAnsi="Avenir Book"/>
          <w:color w:val="000000" w:themeColor="text1"/>
        </w:rPr>
        <w:t>2021.</w:t>
      </w:r>
    </w:p>
    <w:p w14:paraId="55E990CD" w14:textId="5AB86AFD" w:rsidR="004458BC" w:rsidRPr="00723610"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Cupitt, Don.</w:t>
      </w:r>
      <w:r w:rsidRPr="004458BC">
        <w:rPr>
          <w:rFonts w:ascii="Avenir Book" w:hAnsi="Avenir Book"/>
          <w:i/>
          <w:iCs/>
          <w:color w:val="000000" w:themeColor="text1"/>
        </w:rPr>
        <w:t xml:space="preserve"> Emptiness and Brightness. </w:t>
      </w:r>
      <w:proofErr w:type="spellStart"/>
      <w:r w:rsidRPr="004458BC">
        <w:rPr>
          <w:rFonts w:ascii="Avenir Book" w:hAnsi="Avenir Book"/>
          <w:color w:val="000000" w:themeColor="text1"/>
        </w:rPr>
        <w:t>Polebridge</w:t>
      </w:r>
      <w:proofErr w:type="spellEnd"/>
      <w:r w:rsidRPr="004458BC">
        <w:rPr>
          <w:rFonts w:ascii="Avenir Book" w:hAnsi="Avenir Book"/>
          <w:color w:val="000000" w:themeColor="text1"/>
        </w:rPr>
        <w:t xml:space="preserve"> Press</w:t>
      </w:r>
      <w:r w:rsidRPr="004458BC">
        <w:rPr>
          <w:rFonts w:ascii="Avenir Book" w:hAnsi="Avenir Book"/>
          <w:i/>
          <w:iCs/>
          <w:color w:val="000000" w:themeColor="text1"/>
        </w:rPr>
        <w:t xml:space="preserve">, </w:t>
      </w:r>
      <w:r w:rsidRPr="004458BC">
        <w:rPr>
          <w:rFonts w:ascii="Avenir Book" w:hAnsi="Avenir Book"/>
          <w:color w:val="000000" w:themeColor="text1"/>
        </w:rPr>
        <w:t>2001.</w:t>
      </w:r>
    </w:p>
    <w:p w14:paraId="0FE65328" w14:textId="0740A43E"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Davey, Nicholas.  </w:t>
      </w:r>
      <w:r w:rsidRPr="004458BC">
        <w:rPr>
          <w:rFonts w:ascii="Avenir Book" w:hAnsi="Avenir Book"/>
          <w:i/>
          <w:iCs/>
          <w:color w:val="000000" w:themeColor="text1"/>
        </w:rPr>
        <w:t>Negative Hermeneutics and the Question of Practice</w:t>
      </w:r>
      <w:r w:rsidRPr="004458BC">
        <w:rPr>
          <w:rFonts w:ascii="Avenir Book" w:hAnsi="Avenir Book"/>
          <w:color w:val="000000" w:themeColor="text1"/>
        </w:rPr>
        <w:t>. Bloomsbury, 2025.</w:t>
      </w:r>
    </w:p>
    <w:p w14:paraId="2E810F72" w14:textId="264AD9F7" w:rsidR="004458BC" w:rsidRPr="004458BC" w:rsidRDefault="004458BC" w:rsidP="004458BC">
      <w:pPr>
        <w:spacing w:before="120" w:after="120" w:line="240" w:lineRule="auto"/>
        <w:ind w:left="720" w:hanging="720"/>
        <w:rPr>
          <w:rFonts w:ascii="Avenir Book" w:hAnsi="Avenir Book"/>
          <w:i/>
          <w:iCs/>
          <w:color w:val="000000" w:themeColor="text1"/>
        </w:rPr>
      </w:pPr>
      <w:r w:rsidRPr="004458BC">
        <w:rPr>
          <w:rFonts w:ascii="Avenir Book" w:hAnsi="Avenir Book"/>
          <w:color w:val="000000" w:themeColor="text1"/>
        </w:rPr>
        <w:t xml:space="preserve">Davies, Oliver and Turner, Denys. </w:t>
      </w:r>
      <w:r w:rsidRPr="004458BC">
        <w:rPr>
          <w:rFonts w:ascii="Avenir Book" w:hAnsi="Avenir Book"/>
          <w:i/>
          <w:iCs/>
          <w:color w:val="000000" w:themeColor="text1"/>
        </w:rPr>
        <w:t>Silence and the Word</w:t>
      </w:r>
      <w:r w:rsidRPr="004458BC">
        <w:rPr>
          <w:rFonts w:ascii="Avenir Book" w:hAnsi="Avenir Book"/>
          <w:color w:val="000000" w:themeColor="text1"/>
        </w:rPr>
        <w:t>. Cambridge University Press, 2008.</w:t>
      </w:r>
    </w:p>
    <w:p w14:paraId="283A670D" w14:textId="77777777" w:rsidR="004458BC" w:rsidRPr="004458BC" w:rsidRDefault="004458BC" w:rsidP="004458BC">
      <w:pPr>
        <w:spacing w:before="120" w:after="120" w:line="240" w:lineRule="auto"/>
        <w:ind w:left="720" w:hanging="720"/>
        <w:rPr>
          <w:rFonts w:ascii="Avenir Book" w:hAnsi="Avenir Book"/>
          <w:i/>
          <w:iCs/>
          <w:color w:val="000000" w:themeColor="text1"/>
        </w:rPr>
      </w:pPr>
      <w:r w:rsidRPr="004458BC">
        <w:rPr>
          <w:rFonts w:ascii="Avenir Book" w:hAnsi="Avenir Book"/>
          <w:color w:val="000000" w:themeColor="text1"/>
        </w:rPr>
        <w:t>Ellis, Fiona.</w:t>
      </w:r>
      <w:r w:rsidRPr="004458BC">
        <w:rPr>
          <w:rFonts w:ascii="Avenir Book" w:hAnsi="Avenir Book"/>
          <w:i/>
          <w:iCs/>
          <w:color w:val="000000" w:themeColor="text1"/>
        </w:rPr>
        <w:t xml:space="preserve"> God Value and Nature. </w:t>
      </w:r>
      <w:r w:rsidRPr="004458BC">
        <w:rPr>
          <w:rFonts w:ascii="Avenir Book" w:hAnsi="Avenir Book"/>
          <w:color w:val="000000" w:themeColor="text1"/>
        </w:rPr>
        <w:t>Oxford University Press</w:t>
      </w:r>
      <w:r w:rsidRPr="004458BC">
        <w:rPr>
          <w:rFonts w:ascii="Avenir Book" w:hAnsi="Avenir Book"/>
          <w:i/>
          <w:iCs/>
          <w:color w:val="000000" w:themeColor="text1"/>
        </w:rPr>
        <w:t xml:space="preserve">, </w:t>
      </w:r>
      <w:r w:rsidRPr="004458BC">
        <w:rPr>
          <w:rFonts w:ascii="Avenir Book" w:hAnsi="Avenir Book"/>
          <w:color w:val="000000" w:themeColor="text1"/>
        </w:rPr>
        <w:t>2014.</w:t>
      </w:r>
    </w:p>
    <w:p w14:paraId="63902102" w14:textId="77777777" w:rsidR="004458BC" w:rsidRPr="004458BC" w:rsidRDefault="004458BC" w:rsidP="004458BC">
      <w:pPr>
        <w:spacing w:before="120" w:after="120" w:line="240" w:lineRule="auto"/>
        <w:ind w:left="720" w:hanging="720"/>
        <w:rPr>
          <w:rFonts w:ascii="Avenir Book" w:hAnsi="Avenir Book"/>
          <w:i/>
          <w:iCs/>
          <w:color w:val="000000" w:themeColor="text1"/>
        </w:rPr>
      </w:pPr>
      <w:r w:rsidRPr="004458BC">
        <w:rPr>
          <w:rFonts w:ascii="Avenir Book" w:hAnsi="Avenir Book"/>
          <w:color w:val="000000" w:themeColor="text1"/>
        </w:rPr>
        <w:t xml:space="preserve">Ford, David. </w:t>
      </w:r>
      <w:r w:rsidRPr="004458BC">
        <w:rPr>
          <w:rFonts w:ascii="Avenir Book" w:hAnsi="Avenir Book"/>
          <w:i/>
          <w:iCs/>
          <w:color w:val="000000" w:themeColor="text1"/>
          <w:rtl/>
        </w:rPr>
        <w:t>“</w:t>
      </w:r>
      <w:r w:rsidRPr="004458BC">
        <w:rPr>
          <w:rFonts w:ascii="Avenir Book" w:hAnsi="Avenir Book"/>
          <w:color w:val="000000" w:themeColor="text1"/>
        </w:rPr>
        <w:t>Holy Spirit and Christian Spirituality</w:t>
      </w:r>
      <w:r w:rsidRPr="004458BC">
        <w:rPr>
          <w:rFonts w:ascii="Avenir Book" w:hAnsi="Avenir Book"/>
          <w:i/>
          <w:iCs/>
          <w:color w:val="000000" w:themeColor="text1"/>
        </w:rPr>
        <w:t>.</w:t>
      </w:r>
      <w:r w:rsidRPr="004458BC">
        <w:rPr>
          <w:rFonts w:ascii="Avenir Book" w:hAnsi="Avenir Book"/>
          <w:color w:val="000000" w:themeColor="text1"/>
        </w:rPr>
        <w:t>”</w:t>
      </w:r>
      <w:r w:rsidRPr="004458BC">
        <w:rPr>
          <w:rFonts w:ascii="Avenir Book" w:hAnsi="Avenir Book"/>
          <w:i/>
          <w:iCs/>
          <w:color w:val="000000" w:themeColor="text1"/>
        </w:rPr>
        <w:t xml:space="preserve"> </w:t>
      </w:r>
      <w:r w:rsidRPr="004458BC">
        <w:rPr>
          <w:rFonts w:ascii="Avenir Book" w:hAnsi="Avenir Book"/>
          <w:color w:val="000000" w:themeColor="text1"/>
        </w:rPr>
        <w:t>In</w:t>
      </w:r>
      <w:r w:rsidRPr="004458BC">
        <w:rPr>
          <w:rFonts w:ascii="Avenir Book" w:hAnsi="Avenir Book"/>
          <w:i/>
          <w:iCs/>
          <w:color w:val="000000" w:themeColor="text1"/>
        </w:rPr>
        <w:t xml:space="preserve"> The Cambridge Companion to Post-Modern Theology</w:t>
      </w:r>
      <w:r w:rsidRPr="004458BC">
        <w:rPr>
          <w:rFonts w:ascii="Avenir Book" w:hAnsi="Avenir Book"/>
          <w:color w:val="000000" w:themeColor="text1"/>
        </w:rPr>
        <w:t>, edited by Kevin J. Vanhoozer.</w:t>
      </w:r>
      <w:r w:rsidRPr="004458BC">
        <w:rPr>
          <w:rFonts w:ascii="Avenir Book" w:hAnsi="Avenir Book"/>
          <w:i/>
          <w:iCs/>
          <w:color w:val="000000" w:themeColor="text1"/>
        </w:rPr>
        <w:t xml:space="preserve"> </w:t>
      </w:r>
      <w:r w:rsidRPr="004458BC">
        <w:rPr>
          <w:rFonts w:ascii="Avenir Book" w:hAnsi="Avenir Book"/>
          <w:color w:val="000000" w:themeColor="text1"/>
        </w:rPr>
        <w:t>Cambridge University Press, 2003.</w:t>
      </w:r>
    </w:p>
    <w:p w14:paraId="2B4F27EA" w14:textId="77777777"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Gadamer, Hans-Georg. </w:t>
      </w:r>
      <w:r w:rsidRPr="004458BC">
        <w:rPr>
          <w:rFonts w:ascii="Avenir Book" w:hAnsi="Avenir Book"/>
          <w:i/>
          <w:iCs/>
          <w:color w:val="000000" w:themeColor="text1"/>
        </w:rPr>
        <w:t xml:space="preserve">Philosophical Hermeneutics. </w:t>
      </w:r>
      <w:r w:rsidRPr="004458BC">
        <w:rPr>
          <w:rFonts w:ascii="Avenir Book" w:hAnsi="Avenir Book"/>
          <w:color w:val="000000" w:themeColor="text1"/>
        </w:rPr>
        <w:t>University of California Press, 1976</w:t>
      </w:r>
      <w:r w:rsidRPr="004458BC">
        <w:rPr>
          <w:rFonts w:ascii="Avenir Book" w:hAnsi="Avenir Book"/>
          <w:i/>
          <w:iCs/>
          <w:color w:val="000000" w:themeColor="text1"/>
        </w:rPr>
        <w:t xml:space="preserve">. </w:t>
      </w:r>
      <w:r w:rsidRPr="004458BC">
        <w:rPr>
          <w:rFonts w:ascii="Avenir Book" w:hAnsi="Avenir Book"/>
          <w:color w:val="000000" w:themeColor="text1"/>
        </w:rPr>
        <w:t>[</w:t>
      </w:r>
      <w:r w:rsidRPr="004458BC">
        <w:rPr>
          <w:rFonts w:ascii="Avenir Book" w:hAnsi="Avenir Book"/>
          <w:i/>
          <w:iCs/>
          <w:color w:val="000000" w:themeColor="text1"/>
        </w:rPr>
        <w:t>PH</w:t>
      </w:r>
      <w:r w:rsidRPr="004458BC">
        <w:rPr>
          <w:rFonts w:ascii="Avenir Book" w:hAnsi="Avenir Book"/>
          <w:color w:val="000000" w:themeColor="text1"/>
        </w:rPr>
        <w:t>]</w:t>
      </w:r>
    </w:p>
    <w:p w14:paraId="16BAFBD9" w14:textId="77777777"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Gadamer, Hans-Georg. </w:t>
      </w:r>
      <w:r w:rsidRPr="004458BC">
        <w:rPr>
          <w:rFonts w:ascii="Avenir Book" w:hAnsi="Avenir Book"/>
          <w:i/>
          <w:iCs/>
          <w:color w:val="000000" w:themeColor="text1"/>
        </w:rPr>
        <w:t xml:space="preserve">The Relevance of The Beautiful and Other Essays. </w:t>
      </w:r>
      <w:r w:rsidRPr="004458BC">
        <w:rPr>
          <w:rFonts w:ascii="Avenir Book" w:hAnsi="Avenir Book"/>
          <w:color w:val="000000" w:themeColor="text1"/>
        </w:rPr>
        <w:t>Edited by Robert Bernasconi. Translated by Nicholas Walker.</w:t>
      </w:r>
      <w:r w:rsidRPr="004458BC">
        <w:rPr>
          <w:rFonts w:ascii="Avenir Book" w:hAnsi="Avenir Book"/>
          <w:i/>
          <w:iCs/>
          <w:color w:val="000000" w:themeColor="text1"/>
        </w:rPr>
        <w:t xml:space="preserve"> </w:t>
      </w:r>
      <w:r w:rsidRPr="004458BC">
        <w:rPr>
          <w:rFonts w:ascii="Avenir Book" w:hAnsi="Avenir Book"/>
          <w:color w:val="000000" w:themeColor="text1"/>
        </w:rPr>
        <w:t>Cambridge University Press, 1986. [</w:t>
      </w:r>
      <w:r w:rsidRPr="004458BC">
        <w:rPr>
          <w:rFonts w:ascii="Avenir Book" w:hAnsi="Avenir Book"/>
          <w:i/>
          <w:iCs/>
          <w:color w:val="000000" w:themeColor="text1"/>
        </w:rPr>
        <w:t>RB</w:t>
      </w:r>
      <w:r w:rsidRPr="004458BC">
        <w:rPr>
          <w:rFonts w:ascii="Avenir Book" w:hAnsi="Avenir Book"/>
          <w:color w:val="000000" w:themeColor="text1"/>
        </w:rPr>
        <w:t>]</w:t>
      </w:r>
    </w:p>
    <w:p w14:paraId="5E4F6131" w14:textId="77777777"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Hubick, Joel. </w:t>
      </w:r>
      <w:r w:rsidRPr="004458BC">
        <w:rPr>
          <w:rFonts w:ascii="Avenir Book" w:hAnsi="Avenir Book"/>
          <w:i/>
          <w:iCs/>
          <w:color w:val="000000" w:themeColor="text1"/>
        </w:rPr>
        <w:t xml:space="preserve">The Phenomenology of Questioning, Husserl, Heidegger and Patočka. </w:t>
      </w:r>
      <w:r w:rsidRPr="004458BC">
        <w:rPr>
          <w:rFonts w:ascii="Avenir Book" w:hAnsi="Avenir Book"/>
          <w:color w:val="000000" w:themeColor="text1"/>
        </w:rPr>
        <w:t>Bloomsbury, 2024.</w:t>
      </w:r>
    </w:p>
    <w:p w14:paraId="26507A7B" w14:textId="2098B053" w:rsidR="004458BC" w:rsidRPr="004458BC" w:rsidRDefault="004458BC" w:rsidP="004458BC">
      <w:pPr>
        <w:spacing w:before="120" w:after="120" w:line="240" w:lineRule="auto"/>
        <w:ind w:left="720" w:hanging="720"/>
        <w:rPr>
          <w:rFonts w:ascii="Avenir Book" w:hAnsi="Avenir Book"/>
          <w:color w:val="000000" w:themeColor="text1"/>
        </w:rPr>
      </w:pPr>
      <w:proofErr w:type="spellStart"/>
      <w:r w:rsidRPr="004458BC">
        <w:rPr>
          <w:rFonts w:ascii="Avenir Book" w:hAnsi="Avenir Book"/>
          <w:color w:val="000000" w:themeColor="text1"/>
        </w:rPr>
        <w:t>Lötz</w:t>
      </w:r>
      <w:proofErr w:type="spellEnd"/>
      <w:r w:rsidRPr="00723610">
        <w:rPr>
          <w:rFonts w:ascii="Avenir Book" w:hAnsi="Avenir Book"/>
          <w:color w:val="000000" w:themeColor="text1"/>
        </w:rPr>
        <w:t>,</w:t>
      </w:r>
      <w:r w:rsidRPr="004458BC">
        <w:rPr>
          <w:rFonts w:ascii="Avenir Book" w:hAnsi="Avenir Book"/>
          <w:color w:val="000000" w:themeColor="text1"/>
        </w:rPr>
        <w:t xml:space="preserve"> Christian. </w:t>
      </w:r>
      <w:r w:rsidRPr="004458BC">
        <w:rPr>
          <w:rFonts w:ascii="Avenir Book" w:hAnsi="Avenir Book"/>
          <w:i/>
          <w:iCs/>
          <w:color w:val="000000" w:themeColor="text1"/>
        </w:rPr>
        <w:t>The Art of Gerhard Richter.</w:t>
      </w:r>
      <w:r w:rsidRPr="004458BC">
        <w:rPr>
          <w:rFonts w:ascii="Avenir Book" w:hAnsi="Avenir Book"/>
          <w:color w:val="000000" w:themeColor="text1"/>
        </w:rPr>
        <w:t xml:space="preserve"> Bloomsbury, 2017.</w:t>
      </w:r>
    </w:p>
    <w:p w14:paraId="787786D0" w14:textId="77777777"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Murdoch, Iris. </w:t>
      </w:r>
      <w:r w:rsidRPr="004458BC">
        <w:rPr>
          <w:rFonts w:ascii="Avenir Book" w:hAnsi="Avenir Book"/>
          <w:i/>
          <w:iCs/>
          <w:color w:val="000000" w:themeColor="text1"/>
        </w:rPr>
        <w:t>Existentialists and Mystics: Writings on Philosophy and Literature.</w:t>
      </w:r>
      <w:r w:rsidRPr="004458BC">
        <w:rPr>
          <w:rFonts w:ascii="Avenir Book" w:hAnsi="Avenir Book"/>
          <w:color w:val="000000" w:themeColor="text1"/>
        </w:rPr>
        <w:t xml:space="preserve"> Chatto and Windus, 1997.</w:t>
      </w:r>
    </w:p>
    <w:p w14:paraId="1C7BDA5E" w14:textId="7AE132E1"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Nietzsche, Friedrich. </w:t>
      </w:r>
      <w:r w:rsidRPr="004458BC">
        <w:rPr>
          <w:rFonts w:ascii="Avenir Book" w:hAnsi="Avenir Book"/>
          <w:i/>
          <w:iCs/>
          <w:color w:val="000000" w:themeColor="text1"/>
        </w:rPr>
        <w:t>Human</w:t>
      </w:r>
      <w:r w:rsidR="00AB5A5E">
        <w:rPr>
          <w:rFonts w:ascii="Avenir Book" w:hAnsi="Avenir Book"/>
          <w:i/>
          <w:iCs/>
          <w:color w:val="000000" w:themeColor="text1"/>
        </w:rPr>
        <w:t>,</w:t>
      </w:r>
      <w:r w:rsidRPr="004458BC">
        <w:rPr>
          <w:rFonts w:ascii="Avenir Book" w:hAnsi="Avenir Book"/>
          <w:i/>
          <w:iCs/>
          <w:color w:val="000000" w:themeColor="text1"/>
        </w:rPr>
        <w:t xml:space="preserve"> All Too Human</w:t>
      </w:r>
      <w:r w:rsidRPr="004458BC">
        <w:rPr>
          <w:rFonts w:ascii="Avenir Book" w:hAnsi="Avenir Book"/>
          <w:color w:val="000000" w:themeColor="text1"/>
        </w:rPr>
        <w:t xml:space="preserve">. </w:t>
      </w:r>
      <w:r w:rsidR="00AB5A5E">
        <w:rPr>
          <w:rFonts w:ascii="Avenir Book" w:hAnsi="Avenir Book"/>
          <w:color w:val="000000" w:themeColor="text1"/>
        </w:rPr>
        <w:t xml:space="preserve">Translated by Gary Handwerk. </w:t>
      </w:r>
      <w:r w:rsidRPr="004458BC">
        <w:rPr>
          <w:rFonts w:ascii="Avenir Book" w:hAnsi="Avenir Book"/>
          <w:color w:val="000000" w:themeColor="text1"/>
        </w:rPr>
        <w:t>Cambridge University Press, 1986.</w:t>
      </w:r>
    </w:p>
    <w:p w14:paraId="567504EA" w14:textId="58669EA7"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lastRenderedPageBreak/>
        <w:t xml:space="preserve">Nietzsche, Friedrich. </w:t>
      </w:r>
      <w:r w:rsidRPr="004458BC">
        <w:rPr>
          <w:rFonts w:ascii="Avenir Book" w:hAnsi="Avenir Book"/>
          <w:i/>
          <w:iCs/>
          <w:color w:val="000000" w:themeColor="text1"/>
        </w:rPr>
        <w:t>The Gay Science</w:t>
      </w:r>
      <w:r w:rsidRPr="004458BC">
        <w:rPr>
          <w:rFonts w:ascii="Avenir Book" w:hAnsi="Avenir Book"/>
          <w:color w:val="000000" w:themeColor="text1"/>
        </w:rPr>
        <w:t xml:space="preserve">. </w:t>
      </w:r>
      <w:r w:rsidR="00AB5A5E">
        <w:rPr>
          <w:rFonts w:ascii="Avenir Book" w:hAnsi="Avenir Book"/>
          <w:color w:val="000000" w:themeColor="text1"/>
        </w:rPr>
        <w:t>Translated by Walter Kaufmann</w:t>
      </w:r>
      <w:r w:rsidR="00AB5A5E">
        <w:rPr>
          <w:rFonts w:ascii="Avenir Book" w:eastAsia="Arial Unicode MS" w:hAnsi="Avenir Book" w:cs="Arial Unicode MS"/>
          <w:color w:val="000000" w:themeColor="text1"/>
        </w:rPr>
        <w:t>. Vintage,</w:t>
      </w:r>
      <w:r w:rsidRPr="004458BC">
        <w:rPr>
          <w:rFonts w:ascii="Avenir Book" w:hAnsi="Avenir Book"/>
          <w:color w:val="000000" w:themeColor="text1"/>
        </w:rPr>
        <w:t xml:space="preserve"> 1974.</w:t>
      </w:r>
    </w:p>
    <w:p w14:paraId="624A6AC2" w14:textId="0E0FA3CF"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Nietzsche, Friedrich. </w:t>
      </w:r>
      <w:r w:rsidRPr="004458BC">
        <w:rPr>
          <w:rFonts w:ascii="Avenir Book" w:hAnsi="Avenir Book"/>
          <w:i/>
          <w:iCs/>
          <w:color w:val="000000" w:themeColor="text1"/>
        </w:rPr>
        <w:t xml:space="preserve">Thus Spake Zarathustra. </w:t>
      </w:r>
      <w:r w:rsidR="00AB5A5E">
        <w:rPr>
          <w:rFonts w:ascii="Avenir Book" w:hAnsi="Avenir Book"/>
          <w:color w:val="000000" w:themeColor="text1"/>
        </w:rPr>
        <w:t xml:space="preserve">Translated by </w:t>
      </w:r>
      <w:r w:rsidR="00AB5A5E">
        <w:rPr>
          <w:rFonts w:ascii="Avenir Book" w:eastAsia="Arial Unicode MS" w:hAnsi="Avenir Book" w:cs="Arial Unicode MS"/>
          <w:color w:val="000000" w:themeColor="text1"/>
        </w:rPr>
        <w:t xml:space="preserve">R. J. </w:t>
      </w:r>
      <w:proofErr w:type="spellStart"/>
      <w:r w:rsidR="00AB5A5E">
        <w:rPr>
          <w:rFonts w:ascii="Avenir Book" w:eastAsia="Arial Unicode MS" w:hAnsi="Avenir Book" w:cs="Arial Unicode MS"/>
          <w:color w:val="000000" w:themeColor="text1"/>
        </w:rPr>
        <w:t>Hollingdale</w:t>
      </w:r>
      <w:proofErr w:type="spellEnd"/>
      <w:r w:rsidR="00AB5A5E">
        <w:rPr>
          <w:rFonts w:ascii="Avenir Book" w:eastAsia="Arial Unicode MS" w:hAnsi="Avenir Book" w:cs="Arial Unicode MS"/>
          <w:color w:val="000000" w:themeColor="text1"/>
        </w:rPr>
        <w:t>.</w:t>
      </w:r>
      <w:r w:rsidR="00AB5A5E" w:rsidRPr="004458BC">
        <w:rPr>
          <w:rFonts w:ascii="Avenir Book" w:hAnsi="Avenir Book"/>
          <w:color w:val="000000" w:themeColor="text1"/>
        </w:rPr>
        <w:t xml:space="preserve"> </w:t>
      </w:r>
      <w:r w:rsidRPr="004458BC">
        <w:rPr>
          <w:rFonts w:ascii="Avenir Book" w:hAnsi="Avenir Book"/>
          <w:color w:val="000000" w:themeColor="text1"/>
        </w:rPr>
        <w:t>Penguin, 1974.</w:t>
      </w:r>
    </w:p>
    <w:p w14:paraId="5BEE87F1" w14:textId="0C6B556E" w:rsidR="004458BC" w:rsidRPr="004458BC" w:rsidRDefault="004458BC" w:rsidP="00AB5A5E">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Stein, Edith. </w:t>
      </w:r>
      <w:r w:rsidRPr="004458BC">
        <w:rPr>
          <w:rFonts w:ascii="Avenir Book" w:hAnsi="Avenir Book"/>
          <w:i/>
          <w:iCs/>
          <w:color w:val="000000" w:themeColor="text1"/>
        </w:rPr>
        <w:t>The Living Philosophy of Edith Stein</w:t>
      </w:r>
      <w:r w:rsidR="00AB5A5E">
        <w:rPr>
          <w:rFonts w:ascii="Avenir Book" w:hAnsi="Avenir Book"/>
          <w:i/>
          <w:iCs/>
          <w:color w:val="000000" w:themeColor="text1"/>
        </w:rPr>
        <w:t xml:space="preserve">. </w:t>
      </w:r>
      <w:r w:rsidR="00AB5A5E">
        <w:rPr>
          <w:rFonts w:ascii="Avenir Book" w:hAnsi="Avenir Book"/>
          <w:color w:val="000000" w:themeColor="text1"/>
        </w:rPr>
        <w:t xml:space="preserve">Translated by </w:t>
      </w:r>
      <w:r w:rsidR="00AB5A5E" w:rsidRPr="00AB5A5E">
        <w:rPr>
          <w:rFonts w:ascii="Avenir Book" w:hAnsi="Avenir Book"/>
          <w:color w:val="000000" w:themeColor="text1"/>
        </w:rPr>
        <w:t>Hugh C. Flynn</w:t>
      </w:r>
      <w:r w:rsidR="00AB5A5E">
        <w:rPr>
          <w:rFonts w:ascii="Avenir Book" w:hAnsi="Avenir Book"/>
          <w:color w:val="000000" w:themeColor="text1"/>
        </w:rPr>
        <w:t xml:space="preserve">. </w:t>
      </w:r>
      <w:r w:rsidRPr="004458BC">
        <w:rPr>
          <w:rFonts w:ascii="Avenir Book" w:hAnsi="Avenir Book"/>
          <w:color w:val="000000" w:themeColor="text1"/>
        </w:rPr>
        <w:t>Bloomsbury, 2023.</w:t>
      </w:r>
    </w:p>
    <w:p w14:paraId="68E1FEDE" w14:textId="77777777"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Tadashi, Nishihira. </w:t>
      </w:r>
      <w:r w:rsidRPr="004458BC">
        <w:rPr>
          <w:rFonts w:ascii="Avenir Book" w:hAnsi="Avenir Book"/>
          <w:i/>
          <w:iCs/>
          <w:color w:val="000000" w:themeColor="text1"/>
        </w:rPr>
        <w:t>The Philosophy of No-Mind.</w:t>
      </w:r>
      <w:r w:rsidRPr="004458BC">
        <w:rPr>
          <w:rFonts w:ascii="Avenir Book" w:hAnsi="Avenir Book"/>
          <w:color w:val="000000" w:themeColor="text1"/>
        </w:rPr>
        <w:t xml:space="preserve"> Bloomsbury, 2024.</w:t>
      </w:r>
    </w:p>
    <w:p w14:paraId="40FB6E14" w14:textId="77777777"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Tennyson, Alfred, Lord. “Crossing the Bar.” </w:t>
      </w:r>
      <w:r w:rsidRPr="004458BC">
        <w:rPr>
          <w:rFonts w:ascii="Avenir Book" w:hAnsi="Avenir Book"/>
          <w:i/>
          <w:iCs/>
          <w:color w:val="000000" w:themeColor="text1"/>
        </w:rPr>
        <w:t>The Poetry Foundation</w:t>
      </w:r>
      <w:r w:rsidRPr="004458BC">
        <w:rPr>
          <w:rFonts w:ascii="Avenir Book" w:hAnsi="Avenir Book"/>
          <w:color w:val="000000" w:themeColor="text1"/>
        </w:rPr>
        <w:t xml:space="preserve">. </w:t>
      </w:r>
      <w:hyperlink r:id="rId10" w:tgtFrame="_new" w:history="1">
        <w:r w:rsidRPr="004458BC">
          <w:rPr>
            <w:rStyle w:val="Hyperlink"/>
            <w:rFonts w:ascii="Avenir Book" w:hAnsi="Avenir Book"/>
          </w:rPr>
          <w:t>https://www.poetryfoundation.org/poems/45321/crossing-the-bar</w:t>
        </w:r>
      </w:hyperlink>
      <w:r w:rsidRPr="004458BC">
        <w:rPr>
          <w:rFonts w:ascii="Avenir Book" w:hAnsi="Avenir Book"/>
          <w:color w:val="000000" w:themeColor="text1"/>
        </w:rPr>
        <w:t>.</w:t>
      </w:r>
    </w:p>
    <w:p w14:paraId="08BAD088" w14:textId="4226BC4A" w:rsidR="004458BC" w:rsidRPr="004458BC" w:rsidRDefault="004458BC" w:rsidP="004458BC">
      <w:pPr>
        <w:spacing w:before="120" w:after="120" w:line="240" w:lineRule="auto"/>
        <w:ind w:left="720" w:hanging="720"/>
        <w:rPr>
          <w:rFonts w:ascii="Avenir Book" w:hAnsi="Avenir Book"/>
          <w:color w:val="000000" w:themeColor="text1"/>
        </w:rPr>
      </w:pPr>
      <w:r w:rsidRPr="004458BC">
        <w:rPr>
          <w:rFonts w:ascii="Avenir Book" w:hAnsi="Avenir Book"/>
          <w:color w:val="000000" w:themeColor="text1"/>
        </w:rPr>
        <w:t xml:space="preserve">Wittgenstein, Ludwig. </w:t>
      </w:r>
      <w:r w:rsidRPr="004458BC">
        <w:rPr>
          <w:rFonts w:ascii="Avenir Book" w:hAnsi="Avenir Book"/>
          <w:i/>
          <w:iCs/>
          <w:color w:val="000000" w:themeColor="text1"/>
        </w:rPr>
        <w:t>Zettel</w:t>
      </w:r>
      <w:r w:rsidRPr="004458BC">
        <w:rPr>
          <w:rFonts w:ascii="Avenir Book" w:hAnsi="Avenir Book"/>
          <w:color w:val="000000" w:themeColor="text1"/>
        </w:rPr>
        <w:t xml:space="preserve">. Edited by G. E. M. Anscombe and G. H. von Wright. </w:t>
      </w:r>
      <w:r w:rsidR="00AB5A5E">
        <w:rPr>
          <w:rFonts w:ascii="Avenir Book" w:hAnsi="Avenir Book"/>
          <w:color w:val="000000" w:themeColor="text1"/>
        </w:rPr>
        <w:t xml:space="preserve">Translated by G. E. M. Anscombe. </w:t>
      </w:r>
      <w:r w:rsidRPr="004458BC">
        <w:rPr>
          <w:rFonts w:ascii="Avenir Book" w:hAnsi="Avenir Book"/>
          <w:color w:val="000000" w:themeColor="text1"/>
        </w:rPr>
        <w:t>Blackwell. 1990.</w:t>
      </w:r>
    </w:p>
    <w:p w14:paraId="3C4AD785" w14:textId="69C8708B" w:rsidR="00B51346" w:rsidRPr="00723610" w:rsidRDefault="00B51346" w:rsidP="00B51346">
      <w:pPr>
        <w:spacing w:before="120" w:after="120" w:line="240" w:lineRule="auto"/>
        <w:ind w:left="720" w:hanging="720"/>
        <w:rPr>
          <w:rFonts w:ascii="Avenir Book" w:hAnsi="Avenir Book"/>
          <w:color w:val="000000" w:themeColor="text1"/>
          <w:sz w:val="24"/>
          <w:szCs w:val="24"/>
        </w:rPr>
      </w:pPr>
    </w:p>
    <w:p w14:paraId="1E3AE255" w14:textId="77777777" w:rsidR="00B51346" w:rsidRPr="00723610" w:rsidRDefault="00B51346" w:rsidP="00B51346">
      <w:pPr>
        <w:spacing w:before="120" w:after="120" w:line="240" w:lineRule="auto"/>
        <w:ind w:left="720" w:hanging="720"/>
        <w:rPr>
          <w:rFonts w:ascii="Avenir Book" w:hAnsi="Avenir Book"/>
          <w:color w:val="000000" w:themeColor="text1"/>
          <w:sz w:val="24"/>
          <w:szCs w:val="24"/>
        </w:rPr>
      </w:pPr>
    </w:p>
    <w:p w14:paraId="5409A8A0" w14:textId="77777777" w:rsidR="00B51346" w:rsidRPr="00723610" w:rsidRDefault="00B51346">
      <w:pPr>
        <w:rPr>
          <w:rFonts w:ascii="Avenir Book" w:hAnsi="Avenir Book"/>
          <w:color w:val="000000" w:themeColor="text1"/>
        </w:rPr>
      </w:pPr>
    </w:p>
    <w:sectPr w:rsidR="00B51346" w:rsidRPr="00723610" w:rsidSect="00EF7EA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09A1C" w14:textId="77777777" w:rsidR="001E6D02" w:rsidRDefault="001E6D02" w:rsidP="00B51346">
      <w:pPr>
        <w:spacing w:after="0" w:line="240" w:lineRule="auto"/>
      </w:pPr>
      <w:r>
        <w:separator/>
      </w:r>
    </w:p>
  </w:endnote>
  <w:endnote w:type="continuationSeparator" w:id="0">
    <w:p w14:paraId="32D29413" w14:textId="77777777" w:rsidR="001E6D02" w:rsidRDefault="001E6D02"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80000287" w:usb1="280F3C52" w:usb2="00000016" w:usb3="00000000" w:csb0="0004001F" w:csb1="00000000"/>
  </w:font>
  <w:font w:name="Baskerville">
    <w:panose1 w:val="02020502070401020303"/>
    <w:charset w:val="00"/>
    <w:family w:val="roman"/>
    <w:pitch w:val="variable"/>
    <w:sig w:usb0="80000067" w:usb1="02000000"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venir Book">
    <w:panose1 w:val="02000503020000020003"/>
    <w:charset w:val="00"/>
    <w:family w:val="auto"/>
    <w:pitch w:val="variable"/>
    <w:sig w:usb0="800000AF" w:usb1="5000204A" w:usb2="00000000" w:usb3="00000000" w:csb0="0000009B"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09CC8877" w14:textId="77777777" w:rsidR="00B51346" w:rsidRDefault="00B51346" w:rsidP="007F54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9BED1D"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Book" w:hAnsi="Avenir Book"/>
      </w:rPr>
      <w:id w:val="-122854090"/>
      <w:docPartObj>
        <w:docPartGallery w:val="Page Numbers (Bottom of Page)"/>
        <w:docPartUnique/>
      </w:docPartObj>
    </w:sdtPr>
    <w:sdtContent>
      <w:p w14:paraId="6323E836" w14:textId="13199F89" w:rsidR="007F549D" w:rsidRPr="007F549D" w:rsidRDefault="007F549D" w:rsidP="00E32DA8">
        <w:pPr>
          <w:pStyle w:val="Footer"/>
          <w:framePr w:wrap="none" w:vAnchor="text" w:hAnchor="margin" w:xAlign="right" w:y="1"/>
          <w:rPr>
            <w:rStyle w:val="PageNumber"/>
            <w:rFonts w:ascii="Avenir Book" w:hAnsi="Avenir Book"/>
          </w:rPr>
        </w:pPr>
        <w:r w:rsidRPr="007F549D">
          <w:rPr>
            <w:rStyle w:val="PageNumber"/>
            <w:rFonts w:ascii="Avenir Book" w:hAnsi="Avenir Book"/>
          </w:rPr>
          <w:fldChar w:fldCharType="begin"/>
        </w:r>
        <w:r w:rsidRPr="007F549D">
          <w:rPr>
            <w:rStyle w:val="PageNumber"/>
            <w:rFonts w:ascii="Avenir Book" w:hAnsi="Avenir Book"/>
          </w:rPr>
          <w:instrText xml:space="preserve"> PAGE </w:instrText>
        </w:r>
        <w:r w:rsidRPr="007F549D">
          <w:rPr>
            <w:rStyle w:val="PageNumber"/>
            <w:rFonts w:ascii="Avenir Book" w:hAnsi="Avenir Book"/>
          </w:rPr>
          <w:fldChar w:fldCharType="separate"/>
        </w:r>
        <w:r w:rsidRPr="007F549D">
          <w:rPr>
            <w:rStyle w:val="PageNumber"/>
            <w:rFonts w:ascii="Avenir Book" w:hAnsi="Avenir Book"/>
            <w:noProof/>
          </w:rPr>
          <w:t>11</w:t>
        </w:r>
        <w:r w:rsidRPr="007F549D">
          <w:rPr>
            <w:rStyle w:val="PageNumber"/>
            <w:rFonts w:ascii="Avenir Book" w:hAnsi="Avenir Book"/>
          </w:rPr>
          <w:fldChar w:fldCharType="end"/>
        </w:r>
      </w:p>
    </w:sdtContent>
  </w:sdt>
  <w:p w14:paraId="0E264D68" w14:textId="6C68BDFD" w:rsidR="00B51346" w:rsidRPr="00B51346" w:rsidRDefault="00B51346" w:rsidP="00AC20E3">
    <w:pPr>
      <w:pStyle w:val="Footer"/>
      <w:ind w:right="360"/>
      <w:jc w:val="right"/>
      <w:rPr>
        <w:rFonts w:ascii="Gill Sans MT" w:hAnsi="Gill Sans M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AF678" w14:textId="77777777" w:rsidR="00304E52" w:rsidRDefault="00304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AE384" w14:textId="77777777" w:rsidR="001E6D02" w:rsidRDefault="001E6D02" w:rsidP="00B51346">
      <w:pPr>
        <w:spacing w:after="0" w:line="240" w:lineRule="auto"/>
      </w:pPr>
      <w:r>
        <w:separator/>
      </w:r>
    </w:p>
  </w:footnote>
  <w:footnote w:type="continuationSeparator" w:id="0">
    <w:p w14:paraId="67D46EB1" w14:textId="77777777" w:rsidR="001E6D02" w:rsidRDefault="001E6D02" w:rsidP="00B51346">
      <w:pPr>
        <w:spacing w:after="0" w:line="240" w:lineRule="auto"/>
      </w:pPr>
      <w:r>
        <w:continuationSeparator/>
      </w:r>
    </w:p>
  </w:footnote>
  <w:footnote w:id="1">
    <w:p w14:paraId="13545550" w14:textId="66F29B69" w:rsidR="0056147B" w:rsidRPr="00723610" w:rsidRDefault="0056147B" w:rsidP="004458BC">
      <w:pPr>
        <w:pStyle w:val="FootnoteText"/>
        <w:spacing w:after="0" w:line="240" w:lineRule="auto"/>
        <w:rPr>
          <w:rFonts w:ascii="Avenir Book" w:hAnsi="Avenir Book"/>
        </w:rPr>
      </w:pPr>
      <w:r w:rsidRPr="00723610">
        <w:rPr>
          <w:rStyle w:val="FootnoteReference"/>
          <w:rFonts w:ascii="Avenir Book" w:hAnsi="Avenir Book"/>
        </w:rPr>
        <w:footnoteRef/>
      </w:r>
      <w:r w:rsidRPr="00723610">
        <w:rPr>
          <w:rFonts w:ascii="Avenir Book" w:hAnsi="Avenir Book"/>
        </w:rPr>
        <w:t xml:space="preserve"> </w:t>
      </w:r>
      <w:r w:rsidRPr="00723610">
        <w:rPr>
          <w:rFonts w:ascii="Avenir Book" w:eastAsia="Arial Unicode MS" w:hAnsi="Avenir Book" w:cs="Arial Unicode MS"/>
          <w:color w:val="000000" w:themeColor="text1"/>
        </w:rPr>
        <w:t xml:space="preserve">Friedrich Nietzsche, “Even when the free spirit has divested himself of everything metaphysical the highest effects of art can easily set the metaphysical strings which have long been silent, vibrating in sympathy. </w:t>
      </w:r>
      <w:r w:rsidR="008C38CE" w:rsidRPr="008C38CE">
        <w:rPr>
          <w:rFonts w:ascii="Avenir Book" w:eastAsia="Arial Unicode MS" w:hAnsi="Avenir Book" w:cs="Arial Unicode MS"/>
          <w:color w:val="000000" w:themeColor="text1"/>
        </w:rPr>
        <w:t>“From the Souls of Artists and Writers,”</w:t>
      </w:r>
      <w:r w:rsidR="008C38CE" w:rsidRPr="008C38CE">
        <w:rPr>
          <w:rFonts w:ascii="Avenir Book" w:eastAsia="Arial Unicode MS" w:hAnsi="Avenir Book" w:cs="Arial Unicode MS"/>
          <w:color w:val="000000" w:themeColor="text1"/>
        </w:rPr>
        <w:t xml:space="preserve"> </w:t>
      </w:r>
      <w:r w:rsidR="008C38CE">
        <w:rPr>
          <w:rFonts w:ascii="Avenir Book" w:eastAsia="Arial Unicode MS" w:hAnsi="Avenir Book" w:cs="Arial Unicode MS"/>
          <w:color w:val="000000" w:themeColor="text1"/>
        </w:rPr>
        <w:t xml:space="preserve">in </w:t>
      </w:r>
      <w:r w:rsidRPr="00723610">
        <w:rPr>
          <w:rFonts w:ascii="Avenir Book" w:eastAsia="Arial Unicode MS" w:hAnsi="Avenir Book" w:cs="Arial Unicode MS"/>
          <w:i/>
          <w:iCs/>
          <w:color w:val="000000" w:themeColor="text1"/>
        </w:rPr>
        <w:t>Human</w:t>
      </w:r>
      <w:r w:rsidR="00CD32EC">
        <w:rPr>
          <w:rFonts w:ascii="Avenir Book" w:eastAsia="Arial Unicode MS" w:hAnsi="Avenir Book" w:cs="Arial Unicode MS"/>
          <w:i/>
          <w:iCs/>
          <w:color w:val="000000" w:themeColor="text1"/>
        </w:rPr>
        <w:t>,</w:t>
      </w:r>
      <w:r w:rsidRPr="00723610">
        <w:rPr>
          <w:rFonts w:ascii="Avenir Book" w:eastAsia="Arial Unicode MS" w:hAnsi="Avenir Book" w:cs="Arial Unicode MS"/>
          <w:i/>
          <w:iCs/>
          <w:color w:val="000000" w:themeColor="text1"/>
        </w:rPr>
        <w:t xml:space="preserve"> All </w:t>
      </w:r>
      <w:r w:rsidR="008C38CE">
        <w:rPr>
          <w:rFonts w:ascii="Avenir Book" w:eastAsia="Arial Unicode MS" w:hAnsi="Avenir Book" w:cs="Arial Unicode MS"/>
          <w:i/>
          <w:iCs/>
          <w:color w:val="000000" w:themeColor="text1"/>
        </w:rPr>
        <w:t>T</w:t>
      </w:r>
      <w:r w:rsidRPr="00723610">
        <w:rPr>
          <w:rFonts w:ascii="Avenir Book" w:eastAsia="Arial Unicode MS" w:hAnsi="Avenir Book" w:cs="Arial Unicode MS"/>
          <w:i/>
          <w:iCs/>
          <w:color w:val="000000" w:themeColor="text1"/>
        </w:rPr>
        <w:t xml:space="preserve">oo </w:t>
      </w:r>
      <w:r w:rsidRPr="008C38CE">
        <w:rPr>
          <w:rFonts w:ascii="Avenir Book" w:eastAsia="Arial Unicode MS" w:hAnsi="Avenir Book" w:cs="Arial Unicode MS"/>
          <w:i/>
          <w:iCs/>
          <w:color w:val="000000" w:themeColor="text1"/>
        </w:rPr>
        <w:t>Human</w:t>
      </w:r>
      <w:r w:rsidR="008C38CE">
        <w:rPr>
          <w:rFonts w:ascii="Avenir Book" w:eastAsia="Arial Unicode MS" w:hAnsi="Avenir Book" w:cs="Arial Unicode MS"/>
          <w:color w:val="000000" w:themeColor="text1"/>
        </w:rPr>
        <w:t xml:space="preserve">, </w:t>
      </w:r>
      <w:r w:rsidR="00CD32EC" w:rsidRPr="008C38CE">
        <w:rPr>
          <w:rFonts w:ascii="Avenir Book" w:eastAsia="Arial Unicode MS" w:hAnsi="Avenir Book" w:cs="Arial Unicode MS"/>
          <w:color w:val="000000" w:themeColor="text1"/>
        </w:rPr>
        <w:t>ed</w:t>
      </w:r>
      <w:r w:rsidR="00CD32EC">
        <w:rPr>
          <w:rFonts w:ascii="Avenir Book" w:eastAsia="Arial Unicode MS" w:hAnsi="Avenir Book" w:cs="Arial Unicode MS"/>
          <w:color w:val="000000" w:themeColor="text1"/>
        </w:rPr>
        <w:t>. and trans. Gary Handwerk</w:t>
      </w:r>
      <w:r w:rsidRPr="00723610">
        <w:rPr>
          <w:rFonts w:ascii="Avenir Book" w:eastAsia="Arial Unicode MS" w:hAnsi="Avenir Book" w:cs="Arial Unicode MS"/>
          <w:color w:val="000000" w:themeColor="text1"/>
        </w:rPr>
        <w:t xml:space="preserve"> (Cambridge University Press, 1986), sec. 153.</w:t>
      </w:r>
    </w:p>
  </w:footnote>
  <w:footnote w:id="2">
    <w:p w14:paraId="5ED83F43" w14:textId="306BC1B1" w:rsidR="006953C6" w:rsidRPr="00723610" w:rsidRDefault="006953C6" w:rsidP="004458BC">
      <w:pPr>
        <w:pStyle w:val="FootnoteText"/>
        <w:spacing w:after="0" w:line="240" w:lineRule="auto"/>
        <w:rPr>
          <w:rFonts w:ascii="Avenir Book" w:hAnsi="Avenir Book"/>
        </w:rPr>
      </w:pPr>
      <w:r w:rsidRPr="00723610">
        <w:rPr>
          <w:rStyle w:val="FootnoteReference"/>
          <w:rFonts w:ascii="Avenir Book" w:hAnsi="Avenir Book"/>
        </w:rPr>
        <w:footnoteRef/>
      </w:r>
      <w:r w:rsidRPr="00723610">
        <w:rPr>
          <w:rFonts w:ascii="Avenir Book" w:hAnsi="Avenir Book"/>
        </w:rPr>
        <w:t xml:space="preserve"> </w:t>
      </w:r>
      <w:r w:rsidRPr="00723610">
        <w:rPr>
          <w:rFonts w:ascii="Avenir Book" w:eastAsia="Arial Unicode MS" w:hAnsi="Avenir Book" w:cs="Arial Unicode MS"/>
          <w:color w:val="000000" w:themeColor="text1"/>
        </w:rPr>
        <w:t xml:space="preserve">Friedrich Nietzsche, </w:t>
      </w:r>
      <w:r w:rsidRPr="00723610">
        <w:rPr>
          <w:rFonts w:ascii="Avenir Book" w:eastAsia="Arial Unicode MS" w:hAnsi="Avenir Book" w:cs="Arial Unicode MS"/>
          <w:i/>
          <w:iCs/>
          <w:color w:val="000000" w:themeColor="text1"/>
        </w:rPr>
        <w:t>The Gay Science</w:t>
      </w:r>
      <w:r w:rsidR="008C38CE">
        <w:rPr>
          <w:rFonts w:ascii="Avenir Book" w:eastAsia="Arial Unicode MS" w:hAnsi="Avenir Book" w:cs="Arial Unicode MS"/>
          <w:i/>
          <w:iCs/>
          <w:color w:val="000000" w:themeColor="text1"/>
        </w:rPr>
        <w:t xml:space="preserve">, </w:t>
      </w:r>
      <w:r w:rsidR="008C38CE">
        <w:rPr>
          <w:rFonts w:ascii="Avenir Book" w:eastAsia="Arial Unicode MS" w:hAnsi="Avenir Book" w:cs="Arial Unicode MS"/>
          <w:color w:val="000000" w:themeColor="text1"/>
        </w:rPr>
        <w:t>trans. Walter Kaufmann</w:t>
      </w:r>
      <w:r w:rsidRPr="00723610">
        <w:rPr>
          <w:rFonts w:ascii="Avenir Book" w:eastAsia="Arial Unicode MS" w:hAnsi="Avenir Book" w:cs="Arial Unicode MS"/>
          <w:i/>
          <w:iCs/>
          <w:color w:val="000000" w:themeColor="text1"/>
        </w:rPr>
        <w:t xml:space="preserve"> </w:t>
      </w:r>
      <w:r w:rsidRPr="00723610">
        <w:rPr>
          <w:rFonts w:ascii="Avenir Book" w:eastAsia="Arial Unicode MS" w:hAnsi="Avenir Book" w:cs="Arial Unicode MS"/>
          <w:color w:val="000000" w:themeColor="text1"/>
        </w:rPr>
        <w:t xml:space="preserve">(Vintage, 1974), sec.128; </w:t>
      </w:r>
      <w:r w:rsidR="008C38CE">
        <w:rPr>
          <w:rFonts w:ascii="Avenir Book" w:eastAsia="Arial Unicode MS" w:hAnsi="Avenir Book" w:cs="Arial Unicode MS"/>
          <w:color w:val="000000" w:themeColor="text1"/>
        </w:rPr>
        <w:t xml:space="preserve">“Prologue 1–2,” in </w:t>
      </w:r>
      <w:r w:rsidRPr="00723610">
        <w:rPr>
          <w:rFonts w:ascii="Avenir Book" w:eastAsia="Arial Unicode MS" w:hAnsi="Avenir Book" w:cs="Arial Unicode MS"/>
          <w:i/>
          <w:iCs/>
          <w:color w:val="000000" w:themeColor="text1"/>
        </w:rPr>
        <w:t>Thus Spake</w:t>
      </w:r>
      <w:r w:rsidRPr="00723610">
        <w:rPr>
          <w:rFonts w:ascii="Avenir Book" w:eastAsia="Arial Unicode MS" w:hAnsi="Avenir Book" w:cs="Arial Unicode MS"/>
          <w:color w:val="000000" w:themeColor="text1"/>
        </w:rPr>
        <w:t xml:space="preserve"> </w:t>
      </w:r>
      <w:r w:rsidRPr="00723610">
        <w:rPr>
          <w:rFonts w:ascii="Avenir Book" w:eastAsia="Arial Unicode MS" w:hAnsi="Avenir Book" w:cs="Arial Unicode MS"/>
          <w:i/>
          <w:iCs/>
          <w:color w:val="000000" w:themeColor="text1"/>
        </w:rPr>
        <w:t>Zarathustra</w:t>
      </w:r>
      <w:r w:rsidR="008C38CE">
        <w:rPr>
          <w:rFonts w:ascii="Avenir Book" w:eastAsia="Arial Unicode MS" w:hAnsi="Avenir Book" w:cs="Arial Unicode MS"/>
          <w:i/>
          <w:iCs/>
          <w:color w:val="000000" w:themeColor="text1"/>
        </w:rPr>
        <w:t xml:space="preserve">, </w:t>
      </w:r>
      <w:r w:rsidR="008C38CE">
        <w:rPr>
          <w:rFonts w:ascii="Avenir Book" w:eastAsia="Arial Unicode MS" w:hAnsi="Avenir Book" w:cs="Arial Unicode MS"/>
          <w:color w:val="000000" w:themeColor="text1"/>
        </w:rPr>
        <w:t xml:space="preserve">trans. R. J. </w:t>
      </w:r>
      <w:proofErr w:type="spellStart"/>
      <w:r w:rsidR="008C38CE">
        <w:rPr>
          <w:rFonts w:ascii="Avenir Book" w:eastAsia="Arial Unicode MS" w:hAnsi="Avenir Book" w:cs="Arial Unicode MS"/>
          <w:color w:val="000000" w:themeColor="text1"/>
        </w:rPr>
        <w:t>Hollingdale</w:t>
      </w:r>
      <w:proofErr w:type="spellEnd"/>
      <w:r w:rsidR="008C38CE">
        <w:rPr>
          <w:rFonts w:ascii="Avenir Book" w:eastAsia="Arial Unicode MS" w:hAnsi="Avenir Book" w:cs="Arial Unicode MS"/>
          <w:color w:val="000000" w:themeColor="text1"/>
        </w:rPr>
        <w:t xml:space="preserve"> (</w:t>
      </w:r>
      <w:r w:rsidRPr="00723610">
        <w:rPr>
          <w:rFonts w:ascii="Avenir Book" w:eastAsia="Arial Unicode MS" w:hAnsi="Avenir Book" w:cs="Arial Unicode MS"/>
          <w:color w:val="000000" w:themeColor="text1"/>
        </w:rPr>
        <w:t>Penguin, 1974</w:t>
      </w:r>
      <w:r w:rsidR="008C38CE">
        <w:rPr>
          <w:rFonts w:ascii="Avenir Book" w:eastAsia="Arial Unicode MS" w:hAnsi="Avenir Book" w:cs="Arial Unicode MS"/>
          <w:color w:val="000000" w:themeColor="text1"/>
        </w:rPr>
        <w:t>)</w:t>
      </w:r>
      <w:r w:rsidRPr="00723610">
        <w:rPr>
          <w:rFonts w:ascii="Avenir Book" w:eastAsia="Arial Unicode MS" w:hAnsi="Avenir Book" w:cs="Arial Unicode MS"/>
          <w:color w:val="000000" w:themeColor="text1"/>
        </w:rPr>
        <w:t>.</w:t>
      </w:r>
    </w:p>
  </w:footnote>
  <w:footnote w:id="3">
    <w:p w14:paraId="43CAB4BE" w14:textId="418189A8" w:rsidR="006953C6" w:rsidRPr="00723610" w:rsidRDefault="006953C6"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Friedrich Nietzsche, </w:t>
      </w:r>
      <w:r w:rsidR="00CD32EC" w:rsidRPr="00723610">
        <w:rPr>
          <w:rFonts w:ascii="Avenir Book" w:eastAsia="Arial Unicode MS" w:hAnsi="Avenir Book" w:cs="Arial Unicode MS"/>
          <w:i/>
          <w:iCs/>
          <w:color w:val="000000" w:themeColor="text1"/>
          <w:sz w:val="20"/>
          <w:szCs w:val="20"/>
        </w:rPr>
        <w:t>“</w:t>
      </w:r>
      <w:r w:rsidR="00CD32EC" w:rsidRPr="00723610">
        <w:rPr>
          <w:rFonts w:ascii="Avenir Book" w:eastAsia="Arial Unicode MS" w:hAnsi="Avenir Book" w:cs="Arial Unicode MS"/>
          <w:color w:val="000000" w:themeColor="text1"/>
          <w:sz w:val="20"/>
          <w:szCs w:val="20"/>
        </w:rPr>
        <w:t xml:space="preserve">Of </w:t>
      </w:r>
      <w:r w:rsidR="00CD32EC">
        <w:rPr>
          <w:rFonts w:ascii="Avenir Book" w:eastAsia="Arial Unicode MS" w:hAnsi="Avenir Book" w:cs="Arial Unicode MS"/>
          <w:color w:val="000000" w:themeColor="text1"/>
          <w:sz w:val="20"/>
          <w:szCs w:val="20"/>
        </w:rPr>
        <w:t>F</w:t>
      </w:r>
      <w:r w:rsidR="00CD32EC" w:rsidRPr="00723610">
        <w:rPr>
          <w:rFonts w:ascii="Avenir Book" w:eastAsia="Arial Unicode MS" w:hAnsi="Avenir Book" w:cs="Arial Unicode MS"/>
          <w:color w:val="000000" w:themeColor="text1"/>
          <w:sz w:val="20"/>
          <w:szCs w:val="20"/>
        </w:rPr>
        <w:t xml:space="preserve">irst and </w:t>
      </w:r>
      <w:r w:rsidR="00CD32EC">
        <w:rPr>
          <w:rFonts w:ascii="Avenir Book" w:eastAsia="Arial Unicode MS" w:hAnsi="Avenir Book" w:cs="Arial Unicode MS"/>
          <w:color w:val="000000" w:themeColor="text1"/>
          <w:sz w:val="20"/>
          <w:szCs w:val="20"/>
        </w:rPr>
        <w:t>L</w:t>
      </w:r>
      <w:r w:rsidR="00CD32EC" w:rsidRPr="00723610">
        <w:rPr>
          <w:rFonts w:ascii="Avenir Book" w:eastAsia="Arial Unicode MS" w:hAnsi="Avenir Book" w:cs="Arial Unicode MS"/>
          <w:color w:val="000000" w:themeColor="text1"/>
          <w:sz w:val="20"/>
          <w:szCs w:val="20"/>
        </w:rPr>
        <w:t xml:space="preserve">ast </w:t>
      </w:r>
      <w:r w:rsidR="00CD32EC">
        <w:rPr>
          <w:rFonts w:ascii="Avenir Book" w:eastAsia="Arial Unicode MS" w:hAnsi="Avenir Book" w:cs="Arial Unicode MS"/>
          <w:color w:val="000000" w:themeColor="text1"/>
          <w:sz w:val="20"/>
          <w:szCs w:val="20"/>
        </w:rPr>
        <w:t>T</w:t>
      </w:r>
      <w:r w:rsidR="00CD32EC" w:rsidRPr="00CD32EC">
        <w:rPr>
          <w:rFonts w:ascii="Avenir Book" w:eastAsia="Arial Unicode MS" w:hAnsi="Avenir Book" w:cs="Arial Unicode MS"/>
          <w:color w:val="000000" w:themeColor="text1"/>
          <w:sz w:val="20"/>
          <w:szCs w:val="20"/>
        </w:rPr>
        <w:t>hings</w:t>
      </w:r>
      <w:r w:rsidR="00CD32EC">
        <w:rPr>
          <w:rFonts w:ascii="Avenir Book" w:eastAsia="Arial Unicode MS" w:hAnsi="Avenir Book" w:cs="Arial Unicode MS"/>
          <w:color w:val="000000" w:themeColor="text1"/>
          <w:sz w:val="20"/>
          <w:szCs w:val="20"/>
        </w:rPr>
        <w:t xml:space="preserve">,” in </w:t>
      </w:r>
      <w:r w:rsidRPr="00CD32EC">
        <w:rPr>
          <w:rFonts w:ascii="Avenir Book" w:eastAsia="Arial Unicode MS" w:hAnsi="Avenir Book" w:cs="Arial Unicode MS"/>
          <w:i/>
          <w:iCs/>
          <w:color w:val="000000" w:themeColor="text1"/>
          <w:sz w:val="20"/>
          <w:szCs w:val="20"/>
        </w:rPr>
        <w:t>Human</w:t>
      </w:r>
      <w:r w:rsidR="00CD32EC">
        <w:rPr>
          <w:rFonts w:ascii="Avenir Book" w:eastAsia="Arial Unicode MS" w:hAnsi="Avenir Book" w:cs="Arial Unicode MS"/>
          <w:i/>
          <w:iCs/>
          <w:color w:val="000000" w:themeColor="text1"/>
          <w:sz w:val="20"/>
          <w:szCs w:val="20"/>
        </w:rPr>
        <w:t>,</w:t>
      </w:r>
      <w:r w:rsidRPr="00723610">
        <w:rPr>
          <w:rFonts w:ascii="Avenir Book" w:eastAsia="Arial Unicode MS" w:hAnsi="Avenir Book" w:cs="Arial Unicode MS"/>
          <w:i/>
          <w:iCs/>
          <w:color w:val="000000" w:themeColor="text1"/>
          <w:sz w:val="20"/>
          <w:szCs w:val="20"/>
        </w:rPr>
        <w:t xml:space="preserve"> All Too </w:t>
      </w:r>
      <w:r w:rsidRPr="008C38CE">
        <w:rPr>
          <w:rFonts w:ascii="Avenir Book" w:eastAsia="Arial Unicode MS" w:hAnsi="Avenir Book" w:cs="Arial Unicode MS"/>
          <w:i/>
          <w:iCs/>
          <w:color w:val="000000" w:themeColor="text1"/>
          <w:sz w:val="20"/>
          <w:szCs w:val="20"/>
        </w:rPr>
        <w:t>Human</w:t>
      </w:r>
      <w:r w:rsidR="008C38CE">
        <w:rPr>
          <w:rFonts w:ascii="Avenir Book" w:eastAsia="Arial Unicode MS" w:hAnsi="Avenir Book" w:cs="Arial Unicode MS"/>
          <w:color w:val="000000" w:themeColor="text1"/>
          <w:sz w:val="20"/>
          <w:szCs w:val="20"/>
        </w:rPr>
        <w:t xml:space="preserve">, </w:t>
      </w:r>
      <w:r w:rsidRPr="008C38CE">
        <w:rPr>
          <w:rFonts w:ascii="Avenir Book" w:eastAsia="Arial Unicode MS" w:hAnsi="Avenir Book" w:cs="Arial Unicode MS"/>
          <w:color w:val="000000" w:themeColor="text1"/>
          <w:sz w:val="20"/>
          <w:szCs w:val="20"/>
        </w:rPr>
        <w:t>sec</w:t>
      </w:r>
      <w:r w:rsidRPr="00723610">
        <w:rPr>
          <w:rFonts w:ascii="Avenir Book" w:eastAsia="Arial Unicode MS" w:hAnsi="Avenir Book" w:cs="Arial Unicode MS"/>
          <w:color w:val="000000" w:themeColor="text1"/>
          <w:sz w:val="20"/>
          <w:szCs w:val="20"/>
        </w:rPr>
        <w:t>. 9.</w:t>
      </w:r>
    </w:p>
  </w:footnote>
  <w:footnote w:id="4">
    <w:p w14:paraId="5134F76F" w14:textId="77777777" w:rsidR="006953C6" w:rsidRPr="00723610" w:rsidRDefault="006953C6"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Don Cupitt, </w:t>
      </w:r>
      <w:r w:rsidRPr="00723610">
        <w:rPr>
          <w:rFonts w:ascii="Avenir Book" w:eastAsia="Arial Unicode MS" w:hAnsi="Avenir Book" w:cs="Arial Unicode MS"/>
          <w:i/>
          <w:iCs/>
          <w:color w:val="000000" w:themeColor="text1"/>
          <w:sz w:val="20"/>
          <w:szCs w:val="20"/>
        </w:rPr>
        <w:t>Emptiness and Brightness</w:t>
      </w:r>
      <w:r w:rsidRPr="00723610">
        <w:rPr>
          <w:rFonts w:ascii="Avenir Book" w:eastAsia="Arial Unicode MS" w:hAnsi="Avenir Book" w:cs="Arial Unicode MS"/>
          <w:color w:val="000000" w:themeColor="text1"/>
          <w:sz w:val="20"/>
          <w:szCs w:val="20"/>
        </w:rPr>
        <w:t xml:space="preserve"> (</w:t>
      </w:r>
      <w:proofErr w:type="spellStart"/>
      <w:r w:rsidRPr="00723610">
        <w:rPr>
          <w:rFonts w:ascii="Avenir Book" w:eastAsia="Arial Unicode MS" w:hAnsi="Avenir Book" w:cs="Arial Unicode MS"/>
          <w:color w:val="000000" w:themeColor="text1"/>
          <w:sz w:val="20"/>
          <w:szCs w:val="20"/>
        </w:rPr>
        <w:t>Polebridge</w:t>
      </w:r>
      <w:proofErr w:type="spellEnd"/>
      <w:r w:rsidRPr="00723610">
        <w:rPr>
          <w:rFonts w:ascii="Avenir Book" w:eastAsia="Arial Unicode MS" w:hAnsi="Avenir Book" w:cs="Arial Unicode MS"/>
          <w:color w:val="000000" w:themeColor="text1"/>
          <w:sz w:val="20"/>
          <w:szCs w:val="20"/>
        </w:rPr>
        <w:t xml:space="preserve"> Press, 2001), 9.</w:t>
      </w:r>
    </w:p>
  </w:footnote>
  <w:footnote w:id="5">
    <w:p w14:paraId="5884C6F0" w14:textId="06A3F5B0"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See Rowan Williams, “</w:t>
      </w:r>
      <w:r w:rsidR="0033117A">
        <w:rPr>
          <w:rFonts w:ascii="Avenir Book" w:eastAsia="Arial Unicode MS" w:hAnsi="Avenir Book" w:cs="Arial Unicode MS"/>
          <w:color w:val="000000" w:themeColor="text1"/>
          <w:sz w:val="20"/>
          <w:szCs w:val="20"/>
        </w:rPr>
        <w:t>Silence and the Word</w:t>
      </w:r>
      <w:r w:rsidRPr="00723610">
        <w:rPr>
          <w:rFonts w:ascii="Avenir Book" w:eastAsia="Arial Unicode MS" w:hAnsi="Avenir Book" w:cs="Arial Unicode MS"/>
          <w:color w:val="000000" w:themeColor="text1"/>
          <w:sz w:val="20"/>
          <w:szCs w:val="20"/>
        </w:rPr>
        <w:t xml:space="preserve">,” </w:t>
      </w:r>
      <w:r w:rsidR="0033117A">
        <w:rPr>
          <w:rFonts w:ascii="Avenir Book" w:eastAsia="Arial Unicode MS" w:hAnsi="Avenir Book" w:cs="Arial Unicode MS"/>
          <w:color w:val="000000" w:themeColor="text1"/>
          <w:sz w:val="20"/>
          <w:szCs w:val="20"/>
        </w:rPr>
        <w:t xml:space="preserve">in </w:t>
      </w:r>
      <w:r w:rsidRPr="00723610">
        <w:rPr>
          <w:rFonts w:ascii="Avenir Book" w:eastAsia="Arial Unicode MS" w:hAnsi="Avenir Book" w:cs="Arial Unicode MS"/>
          <w:i/>
          <w:iCs/>
          <w:color w:val="000000" w:themeColor="text1"/>
          <w:sz w:val="20"/>
          <w:szCs w:val="20"/>
        </w:rPr>
        <w:t>Silence and the Word</w:t>
      </w:r>
      <w:r w:rsidR="0033117A">
        <w:rPr>
          <w:rFonts w:ascii="Avenir Book" w:eastAsia="Arial Unicode MS" w:hAnsi="Avenir Book" w:cs="Arial Unicode MS"/>
          <w:i/>
          <w:iCs/>
          <w:color w:val="000000" w:themeColor="text1"/>
          <w:sz w:val="20"/>
          <w:szCs w:val="20"/>
        </w:rPr>
        <w:t>,</w:t>
      </w:r>
      <w:r w:rsidRPr="00723610">
        <w:rPr>
          <w:rFonts w:ascii="Avenir Book" w:eastAsia="Arial Unicode MS" w:hAnsi="Avenir Book" w:cs="Arial Unicode MS"/>
          <w:color w:val="000000" w:themeColor="text1"/>
          <w:sz w:val="20"/>
          <w:szCs w:val="20"/>
        </w:rPr>
        <w:t xml:space="preserve"> </w:t>
      </w:r>
      <w:r w:rsidR="0033117A">
        <w:rPr>
          <w:rFonts w:ascii="Avenir Book" w:eastAsia="Arial Unicode MS" w:hAnsi="Avenir Book" w:cs="Arial Unicode MS"/>
          <w:color w:val="000000" w:themeColor="text1"/>
          <w:sz w:val="20"/>
          <w:szCs w:val="20"/>
        </w:rPr>
        <w:t>ed.</w:t>
      </w:r>
      <w:r w:rsidR="0033117A" w:rsidRPr="00723610">
        <w:rPr>
          <w:rFonts w:ascii="Avenir Book" w:eastAsia="Arial Unicode MS" w:hAnsi="Avenir Book" w:cs="Arial Unicode MS"/>
          <w:color w:val="000000" w:themeColor="text1"/>
          <w:sz w:val="20"/>
          <w:szCs w:val="20"/>
        </w:rPr>
        <w:t xml:space="preserve"> Oliver Davies and Denys Turner</w:t>
      </w:r>
      <w:r w:rsidR="0033117A">
        <w:rPr>
          <w:rFonts w:ascii="Avenir Book" w:eastAsia="Arial Unicode MS" w:hAnsi="Avenir Book" w:cs="Arial Unicode MS"/>
          <w:color w:val="000000" w:themeColor="text1"/>
          <w:sz w:val="20"/>
          <w:szCs w:val="20"/>
        </w:rPr>
        <w:t xml:space="preserve"> </w:t>
      </w:r>
      <w:r w:rsidRPr="00723610">
        <w:rPr>
          <w:rFonts w:ascii="Avenir Book" w:eastAsia="Arial Unicode MS" w:hAnsi="Avenir Book" w:cs="Arial Unicode MS"/>
          <w:color w:val="000000" w:themeColor="text1"/>
          <w:sz w:val="20"/>
          <w:szCs w:val="20"/>
        </w:rPr>
        <w:t>(Cambridge University Press), 2008.</w:t>
      </w:r>
    </w:p>
  </w:footnote>
  <w:footnote w:id="6">
    <w:p w14:paraId="78D0BEB9" w14:textId="6271F03C"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David Ford, “Holy Spirit and Christian Spirituality,” in </w:t>
      </w:r>
      <w:r w:rsidRPr="00723610">
        <w:rPr>
          <w:rFonts w:ascii="Avenir Book" w:eastAsia="Arial Unicode MS" w:hAnsi="Avenir Book" w:cs="Arial Unicode MS"/>
          <w:i/>
          <w:iCs/>
          <w:color w:val="000000" w:themeColor="text1"/>
          <w:sz w:val="20"/>
          <w:szCs w:val="20"/>
        </w:rPr>
        <w:t>The Cambridge Companion to Post-Modern Theology,</w:t>
      </w:r>
      <w:r w:rsidRPr="00723610">
        <w:rPr>
          <w:rFonts w:ascii="Avenir Book" w:eastAsia="Arial Unicode MS" w:hAnsi="Avenir Book" w:cs="Arial Unicode MS"/>
          <w:color w:val="000000" w:themeColor="text1"/>
          <w:sz w:val="20"/>
          <w:szCs w:val="20"/>
        </w:rPr>
        <w:t xml:space="preserve"> ed. Kevin J. Vanhoozer (Cambridge University Press, 2003</w:t>
      </w:r>
      <w:r w:rsidR="001746B5">
        <w:rPr>
          <w:rFonts w:ascii="Avenir Book" w:eastAsia="Arial Unicode MS" w:hAnsi="Avenir Book" w:cs="Arial Unicode MS"/>
          <w:color w:val="000000" w:themeColor="text1"/>
          <w:sz w:val="20"/>
          <w:szCs w:val="20"/>
        </w:rPr>
        <w:t>)</w:t>
      </w:r>
      <w:r w:rsidRPr="00723610">
        <w:rPr>
          <w:rFonts w:ascii="Avenir Book" w:eastAsia="Arial Unicode MS" w:hAnsi="Avenir Book" w:cs="Arial Unicode MS"/>
          <w:color w:val="000000" w:themeColor="text1"/>
          <w:sz w:val="20"/>
          <w:szCs w:val="20"/>
        </w:rPr>
        <w:t>, 26.</w:t>
      </w:r>
    </w:p>
  </w:footnote>
  <w:footnote w:id="7">
    <w:p w14:paraId="7B31C1BB" w14:textId="164CEA41"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For Anne Michaels, </w:t>
      </w:r>
      <w:r w:rsidR="00334AB1">
        <w:rPr>
          <w:rFonts w:ascii="Avenir Book" w:eastAsia="Arial Unicode MS" w:hAnsi="Avenir Book" w:cs="Arial Unicode MS"/>
          <w:color w:val="000000" w:themeColor="text1"/>
          <w:sz w:val="20"/>
          <w:szCs w:val="20"/>
        </w:rPr>
        <w:t xml:space="preserve">see “Apophasis and the Shoah: Where Was Jesus Christ at Auschwitz,” in </w:t>
      </w:r>
      <w:r w:rsidRPr="00723610">
        <w:rPr>
          <w:rFonts w:ascii="Avenir Book" w:eastAsia="Arial Unicode MS" w:hAnsi="Avenir Book" w:cs="Arial Unicode MS"/>
          <w:i/>
          <w:iCs/>
          <w:color w:val="000000" w:themeColor="text1"/>
          <w:sz w:val="20"/>
          <w:szCs w:val="20"/>
        </w:rPr>
        <w:t>Silence and the Word</w:t>
      </w:r>
      <w:r w:rsidR="00334AB1">
        <w:rPr>
          <w:rFonts w:ascii="Avenir Book" w:eastAsia="Arial Unicode MS" w:hAnsi="Avenir Book" w:cs="Arial Unicode MS"/>
          <w:color w:val="000000" w:themeColor="text1"/>
          <w:sz w:val="20"/>
          <w:szCs w:val="20"/>
        </w:rPr>
        <w:t xml:space="preserve">, </w:t>
      </w:r>
      <w:r w:rsidRPr="00723610">
        <w:rPr>
          <w:rFonts w:ascii="Avenir Book" w:eastAsia="Arial Unicode MS" w:hAnsi="Avenir Book" w:cs="Arial Unicode MS"/>
          <w:color w:val="000000" w:themeColor="text1"/>
          <w:sz w:val="20"/>
          <w:szCs w:val="20"/>
        </w:rPr>
        <w:t xml:space="preserve">199. See also Diarmaid MacCulloch, </w:t>
      </w:r>
      <w:r w:rsidRPr="00723610">
        <w:rPr>
          <w:rFonts w:ascii="Avenir Book" w:eastAsia="Arial Unicode MS" w:hAnsi="Avenir Book" w:cs="Arial Unicode MS"/>
          <w:i/>
          <w:iCs/>
          <w:color w:val="000000" w:themeColor="text1"/>
          <w:sz w:val="20"/>
          <w:szCs w:val="20"/>
        </w:rPr>
        <w:t xml:space="preserve">Silence a Christian History, </w:t>
      </w:r>
      <w:r w:rsidRPr="00723610">
        <w:rPr>
          <w:rFonts w:ascii="Avenir Book" w:eastAsia="Arial Unicode MS" w:hAnsi="Avenir Book" w:cs="Arial Unicode MS"/>
          <w:color w:val="000000" w:themeColor="text1"/>
          <w:sz w:val="20"/>
          <w:szCs w:val="20"/>
        </w:rPr>
        <w:t>(Allen Lane, 2014), who offers a striking account of the historical transition of vocal prayer to silent prayer within Christian practice.</w:t>
      </w:r>
    </w:p>
  </w:footnote>
  <w:footnote w:id="8">
    <w:p w14:paraId="3EE20CF5" w14:textId="77777777"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Vladimir </w:t>
      </w:r>
      <w:proofErr w:type="spellStart"/>
      <w:r w:rsidRPr="00723610">
        <w:rPr>
          <w:rFonts w:ascii="Avenir Book" w:eastAsia="Arial Unicode MS" w:hAnsi="Avenir Book" w:cs="Arial Unicode MS"/>
          <w:color w:val="000000" w:themeColor="text1"/>
          <w:sz w:val="20"/>
          <w:szCs w:val="20"/>
        </w:rPr>
        <w:t>Bibikhin</w:t>
      </w:r>
      <w:proofErr w:type="spellEnd"/>
      <w:r w:rsidRPr="00723610">
        <w:rPr>
          <w:rFonts w:ascii="Avenir Book" w:eastAsia="Arial Unicode MS" w:hAnsi="Avenir Book" w:cs="Arial Unicode MS"/>
          <w:color w:val="000000" w:themeColor="text1"/>
          <w:sz w:val="20"/>
          <w:szCs w:val="20"/>
        </w:rPr>
        <w:t xml:space="preserve">, </w:t>
      </w:r>
      <w:r w:rsidRPr="00723610">
        <w:rPr>
          <w:rFonts w:ascii="Avenir Book" w:eastAsia="Arial Unicode MS" w:hAnsi="Avenir Book" w:cs="Arial Unicode MS"/>
          <w:i/>
          <w:iCs/>
          <w:color w:val="000000" w:themeColor="text1"/>
          <w:sz w:val="20"/>
          <w:szCs w:val="20"/>
        </w:rPr>
        <w:t>The Woods</w:t>
      </w:r>
      <w:r w:rsidRPr="00723610">
        <w:rPr>
          <w:rFonts w:ascii="Avenir Book" w:eastAsia="Arial Unicode MS" w:hAnsi="Avenir Book" w:cs="Arial Unicode MS"/>
          <w:color w:val="000000" w:themeColor="text1"/>
          <w:sz w:val="20"/>
          <w:szCs w:val="20"/>
        </w:rPr>
        <w:t xml:space="preserve"> (Polity, 2021), 33.</w:t>
      </w:r>
    </w:p>
  </w:footnote>
  <w:footnote w:id="9">
    <w:p w14:paraId="0117EDBF" w14:textId="77777777"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w:t>
      </w:r>
      <w:proofErr w:type="spellStart"/>
      <w:r w:rsidRPr="00723610">
        <w:rPr>
          <w:rFonts w:ascii="Avenir Book" w:eastAsia="Arial Unicode MS" w:hAnsi="Avenir Book" w:cs="Arial Unicode MS"/>
          <w:color w:val="000000" w:themeColor="text1"/>
          <w:sz w:val="20"/>
          <w:szCs w:val="20"/>
        </w:rPr>
        <w:t>Bibikhin</w:t>
      </w:r>
      <w:proofErr w:type="spellEnd"/>
      <w:r w:rsidRPr="00723610">
        <w:rPr>
          <w:rFonts w:ascii="Avenir Book" w:eastAsia="Arial Unicode MS" w:hAnsi="Avenir Book" w:cs="Arial Unicode MS"/>
          <w:color w:val="000000" w:themeColor="text1"/>
          <w:sz w:val="20"/>
          <w:szCs w:val="20"/>
        </w:rPr>
        <w:t>, 21, 22.</w:t>
      </w:r>
    </w:p>
  </w:footnote>
  <w:footnote w:id="10">
    <w:p w14:paraId="0E086A98" w14:textId="77777777"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w:t>
      </w:r>
      <w:proofErr w:type="spellStart"/>
      <w:r w:rsidRPr="00723610">
        <w:rPr>
          <w:rFonts w:ascii="Avenir Book" w:eastAsia="Arial Unicode MS" w:hAnsi="Avenir Book" w:cs="Arial Unicode MS"/>
          <w:color w:val="000000" w:themeColor="text1"/>
          <w:sz w:val="20"/>
          <w:szCs w:val="20"/>
        </w:rPr>
        <w:t>Bibikhin</w:t>
      </w:r>
      <w:proofErr w:type="spellEnd"/>
      <w:r w:rsidRPr="00723610">
        <w:rPr>
          <w:rFonts w:ascii="Avenir Book" w:eastAsia="Arial Unicode MS" w:hAnsi="Avenir Book" w:cs="Arial Unicode MS"/>
          <w:color w:val="000000" w:themeColor="text1"/>
          <w:sz w:val="20"/>
          <w:szCs w:val="20"/>
        </w:rPr>
        <w:t>, 33.</w:t>
      </w:r>
      <w:r w:rsidRPr="00723610">
        <w:rPr>
          <w:rFonts w:ascii="Avenir Book" w:eastAsia="Arial Unicode MS" w:hAnsi="Avenir Book" w:cs="Arial Unicode MS"/>
          <w:i/>
          <w:iCs/>
          <w:color w:val="000000" w:themeColor="text1"/>
          <w:sz w:val="20"/>
          <w:szCs w:val="20"/>
        </w:rPr>
        <w:t xml:space="preserve"> </w:t>
      </w:r>
    </w:p>
  </w:footnote>
  <w:footnote w:id="11">
    <w:p w14:paraId="73EDF127" w14:textId="77777777"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Fiona Ellis, </w:t>
      </w:r>
      <w:r w:rsidRPr="00723610">
        <w:rPr>
          <w:rFonts w:ascii="Avenir Book" w:eastAsia="Arial Unicode MS" w:hAnsi="Avenir Book" w:cs="Arial Unicode MS"/>
          <w:i/>
          <w:iCs/>
          <w:color w:val="000000" w:themeColor="text1"/>
          <w:sz w:val="20"/>
          <w:szCs w:val="20"/>
        </w:rPr>
        <w:t xml:space="preserve">God Value and Nature </w:t>
      </w:r>
      <w:r w:rsidRPr="00723610">
        <w:rPr>
          <w:rFonts w:ascii="Avenir Book" w:eastAsia="Arial Unicode MS" w:hAnsi="Avenir Book" w:cs="Arial Unicode MS"/>
          <w:color w:val="000000" w:themeColor="text1"/>
          <w:sz w:val="20"/>
          <w:szCs w:val="20"/>
        </w:rPr>
        <w:t>(Oxford University Press, 2014), 180–81.</w:t>
      </w:r>
    </w:p>
  </w:footnote>
  <w:footnote w:id="12">
    <w:p w14:paraId="0A4969C2" w14:textId="77777777"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Iris Murdoch, </w:t>
      </w:r>
      <w:r w:rsidRPr="00723610">
        <w:rPr>
          <w:rFonts w:ascii="Avenir Book" w:eastAsia="Arial Unicode MS" w:hAnsi="Avenir Book" w:cs="Arial Unicode MS"/>
          <w:i/>
          <w:iCs/>
          <w:color w:val="000000" w:themeColor="text1"/>
          <w:sz w:val="20"/>
          <w:szCs w:val="20"/>
        </w:rPr>
        <w:t>Existentialists and Mystics, Writings on Philosophy and Literature</w:t>
      </w:r>
      <w:r w:rsidRPr="00723610">
        <w:rPr>
          <w:rFonts w:ascii="Avenir Book" w:eastAsia="Arial Unicode MS" w:hAnsi="Avenir Book" w:cs="Arial Unicode MS"/>
          <w:color w:val="000000" w:themeColor="text1"/>
          <w:sz w:val="20"/>
          <w:szCs w:val="20"/>
        </w:rPr>
        <w:t xml:space="preserve"> (Chatto and Windus), 1997.</w:t>
      </w:r>
    </w:p>
  </w:footnote>
  <w:footnote w:id="13">
    <w:p w14:paraId="3D6AE7A8" w14:textId="77777777" w:rsidR="004A0C77" w:rsidRPr="00723610" w:rsidRDefault="004A0C77"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Murdoch,</w:t>
      </w:r>
      <w:r w:rsidRPr="00723610" w:rsidDel="008266C5">
        <w:rPr>
          <w:rFonts w:ascii="Avenir Book" w:eastAsia="Arial Unicode MS" w:hAnsi="Avenir Book" w:cs="Arial Unicode MS"/>
          <w:color w:val="000000" w:themeColor="text1"/>
          <w:sz w:val="20"/>
          <w:szCs w:val="20"/>
        </w:rPr>
        <w:t xml:space="preserve"> </w:t>
      </w:r>
      <w:r w:rsidRPr="00723610">
        <w:rPr>
          <w:rFonts w:ascii="Avenir Book" w:eastAsia="Arial Unicode MS" w:hAnsi="Avenir Book" w:cs="Arial Unicode MS"/>
          <w:color w:val="000000" w:themeColor="text1"/>
          <w:sz w:val="20"/>
          <w:szCs w:val="20"/>
        </w:rPr>
        <w:t>357, 368, 518.</w:t>
      </w:r>
    </w:p>
  </w:footnote>
  <w:footnote w:id="14">
    <w:p w14:paraId="0CC32C75" w14:textId="77777777" w:rsidR="00F03192" w:rsidRPr="00723610" w:rsidRDefault="00F03192"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The dialogical nature of prayer is emphasizes in the observations of Edith Stein. She remarks,</w:t>
      </w:r>
      <w:r w:rsidRPr="00723610">
        <w:rPr>
          <w:rFonts w:ascii="Avenir Book" w:eastAsia="Arial Unicode MS" w:hAnsi="Avenir Book" w:cs="Arial Unicode MS"/>
          <w:color w:val="000000" w:themeColor="text1"/>
          <w:sz w:val="20"/>
          <w:szCs w:val="20"/>
          <w:rtl/>
        </w:rPr>
        <w:t xml:space="preserve"> </w:t>
      </w:r>
      <w:r w:rsidRPr="00723610">
        <w:rPr>
          <w:rFonts w:ascii="Avenir Book" w:eastAsia="Arial Unicode MS" w:hAnsi="Avenir Book" w:cs="Arial Unicode MS"/>
          <w:color w:val="000000" w:themeColor="text1"/>
          <w:sz w:val="20"/>
          <w:szCs w:val="20"/>
        </w:rPr>
        <w:t xml:space="preserve">“We stopped in at the cathedral for a few minutes; and while we looked around in respectful silence, a woman carrying a basket came in and knelt down in one of the pews to pray briefly. This was something entirely new to me. [. . . ] Here was someone interrupting her everyday shopping errands to come into the church, although no other person was in it as though she were (t)here for an intimate conversation.” Edith Stein, cited in Peter Tyler, </w:t>
      </w:r>
      <w:r w:rsidRPr="00723610">
        <w:rPr>
          <w:rFonts w:ascii="Avenir Book" w:eastAsia="Arial Unicode MS" w:hAnsi="Avenir Book" w:cs="Arial Unicode MS"/>
          <w:i/>
          <w:iCs/>
          <w:color w:val="000000" w:themeColor="text1"/>
          <w:sz w:val="20"/>
          <w:szCs w:val="20"/>
        </w:rPr>
        <w:t>The Living Philosophy of Edith Stein</w:t>
      </w:r>
      <w:r w:rsidRPr="00723610">
        <w:rPr>
          <w:rFonts w:ascii="Avenir Book" w:eastAsia="Arial Unicode MS" w:hAnsi="Avenir Book" w:cs="Arial Unicode MS"/>
          <w:color w:val="000000" w:themeColor="text1"/>
          <w:sz w:val="20"/>
          <w:szCs w:val="20"/>
        </w:rPr>
        <w:t xml:space="preserve"> (Bloomsbury, 2023), 23.</w:t>
      </w:r>
    </w:p>
  </w:footnote>
  <w:footnote w:id="15">
    <w:p w14:paraId="368D4BE9" w14:textId="4BD9C5C4" w:rsidR="00F03192" w:rsidRPr="00723610" w:rsidRDefault="00F03192"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Ludwig Wittgenstein, </w:t>
      </w:r>
      <w:r w:rsidRPr="00723610">
        <w:rPr>
          <w:rFonts w:ascii="Avenir Book" w:eastAsia="Arial Unicode MS" w:hAnsi="Avenir Book" w:cs="Arial Unicode MS"/>
          <w:i/>
          <w:iCs/>
          <w:color w:val="000000" w:themeColor="text1"/>
          <w:sz w:val="20"/>
          <w:szCs w:val="20"/>
        </w:rPr>
        <w:t xml:space="preserve">Zettel, </w:t>
      </w:r>
      <w:r w:rsidRPr="00723610">
        <w:rPr>
          <w:rFonts w:ascii="Avenir Book" w:eastAsia="Arial Unicode MS" w:hAnsi="Avenir Book" w:cs="Arial Unicode MS"/>
          <w:color w:val="000000" w:themeColor="text1"/>
          <w:sz w:val="20"/>
          <w:szCs w:val="20"/>
        </w:rPr>
        <w:t xml:space="preserve">ed. G. E. M. Anscombe &amp; G. H. </w:t>
      </w:r>
      <w:r w:rsidRPr="00723610">
        <w:rPr>
          <w:rFonts w:ascii="Avenir Book" w:eastAsia="Arial Unicode MS" w:hAnsi="Avenir Book" w:cs="Arial Unicode MS"/>
          <w:color w:val="000000" w:themeColor="text1"/>
          <w:sz w:val="20"/>
          <w:szCs w:val="20"/>
        </w:rPr>
        <w:t>von Wright</w:t>
      </w:r>
      <w:r w:rsidR="002C48A2">
        <w:rPr>
          <w:rFonts w:ascii="Avenir Book" w:eastAsia="Arial Unicode MS" w:hAnsi="Avenir Book" w:cs="Arial Unicode MS"/>
          <w:color w:val="000000" w:themeColor="text1"/>
          <w:sz w:val="20"/>
          <w:szCs w:val="20"/>
        </w:rPr>
        <w:t xml:space="preserve">, </w:t>
      </w:r>
      <w:r w:rsidR="002C48A2">
        <w:rPr>
          <w:rFonts w:ascii="Avenir Book" w:eastAsia="Arial Unicode MS" w:hAnsi="Avenir Book" w:cs="Arial Unicode MS"/>
          <w:color w:val="000000" w:themeColor="text1"/>
          <w:sz w:val="20"/>
          <w:szCs w:val="20"/>
        </w:rPr>
        <w:t xml:space="preserve">trans. </w:t>
      </w:r>
      <w:r w:rsidR="002C48A2" w:rsidRPr="00723610">
        <w:rPr>
          <w:rFonts w:ascii="Avenir Book" w:eastAsia="Arial Unicode MS" w:hAnsi="Avenir Book" w:cs="Arial Unicode MS"/>
          <w:color w:val="000000" w:themeColor="text1"/>
          <w:sz w:val="20"/>
          <w:szCs w:val="20"/>
        </w:rPr>
        <w:t>G. E. M. Anscombe</w:t>
      </w:r>
      <w:r w:rsidR="002C48A2">
        <w:rPr>
          <w:rFonts w:ascii="Avenir Book" w:eastAsia="Arial Unicode MS" w:hAnsi="Avenir Book" w:cs="Arial Unicode MS"/>
          <w:color w:val="000000" w:themeColor="text1"/>
          <w:sz w:val="20"/>
          <w:szCs w:val="20"/>
        </w:rPr>
        <w:t xml:space="preserve"> </w:t>
      </w:r>
      <w:r w:rsidR="007D57AE">
        <w:rPr>
          <w:rFonts w:ascii="Avenir Book" w:eastAsia="Arial Unicode MS" w:hAnsi="Avenir Book" w:cs="Arial Unicode MS"/>
          <w:color w:val="000000" w:themeColor="text1"/>
          <w:sz w:val="20"/>
          <w:szCs w:val="20"/>
        </w:rPr>
        <w:t>(</w:t>
      </w:r>
      <w:r w:rsidRPr="00723610">
        <w:rPr>
          <w:rFonts w:ascii="Avenir Book" w:eastAsia="Arial Unicode MS" w:hAnsi="Avenir Book" w:cs="Arial Unicode MS"/>
          <w:color w:val="000000" w:themeColor="text1"/>
          <w:sz w:val="20"/>
          <w:szCs w:val="20"/>
        </w:rPr>
        <w:t>Blackwell. 1990</w:t>
      </w:r>
      <w:r w:rsidR="007D57AE">
        <w:rPr>
          <w:rFonts w:ascii="Avenir Book" w:eastAsia="Arial Unicode MS" w:hAnsi="Avenir Book" w:cs="Arial Unicode MS"/>
          <w:color w:val="000000" w:themeColor="text1"/>
          <w:sz w:val="20"/>
          <w:szCs w:val="20"/>
        </w:rPr>
        <w:t>),</w:t>
      </w:r>
      <w:r w:rsidRPr="00723610">
        <w:rPr>
          <w:rFonts w:ascii="Avenir Book" w:eastAsia="Arial Unicode MS" w:hAnsi="Avenir Book" w:cs="Arial Unicode MS"/>
          <w:color w:val="000000" w:themeColor="text1"/>
          <w:sz w:val="20"/>
          <w:szCs w:val="20"/>
        </w:rPr>
        <w:t xml:space="preserve"> </w:t>
      </w:r>
      <w:r w:rsidR="007D57AE">
        <w:rPr>
          <w:rFonts w:ascii="Avenir Book" w:eastAsia="Arial Unicode MS" w:hAnsi="Avenir Book" w:cs="Arial Unicode MS"/>
          <w:color w:val="000000" w:themeColor="text1"/>
          <w:sz w:val="20"/>
          <w:szCs w:val="20"/>
        </w:rPr>
        <w:t>s</w:t>
      </w:r>
      <w:r w:rsidRPr="00723610">
        <w:rPr>
          <w:rFonts w:ascii="Avenir Book" w:eastAsia="Arial Unicode MS" w:hAnsi="Avenir Book" w:cs="Arial Unicode MS"/>
          <w:color w:val="000000" w:themeColor="text1"/>
          <w:sz w:val="20"/>
          <w:szCs w:val="20"/>
        </w:rPr>
        <w:t>ec. 717.</w:t>
      </w:r>
    </w:p>
  </w:footnote>
  <w:footnote w:id="16">
    <w:p w14:paraId="5DBF0300" w14:textId="4DA248D3" w:rsidR="00F03192" w:rsidRPr="00723610" w:rsidRDefault="00F03192" w:rsidP="004458BC">
      <w:pPr>
        <w:spacing w:after="0" w:line="240" w:lineRule="auto"/>
        <w:rPr>
          <w:rFonts w:ascii="Avenir Book" w:hAnsi="Avenir Book"/>
          <w:color w:val="000000" w:themeColor="text1"/>
          <w:sz w:val="20"/>
          <w:szCs w:val="20"/>
        </w:rPr>
      </w:pPr>
      <w:r w:rsidRPr="00723610">
        <w:rPr>
          <w:rFonts w:ascii="Avenir Book" w:eastAsia="Times New Roman" w:hAnsi="Avenir Book" w:cs="Times New Roman"/>
          <w:color w:val="000000" w:themeColor="text1"/>
          <w:sz w:val="20"/>
          <w:szCs w:val="20"/>
          <w:vertAlign w:val="superscript"/>
        </w:rPr>
        <w:footnoteRef/>
      </w:r>
      <w:r w:rsidRPr="00723610">
        <w:rPr>
          <w:rFonts w:ascii="Avenir Book" w:hAnsi="Avenir Book"/>
          <w:color w:val="000000" w:themeColor="text1"/>
          <w:sz w:val="20"/>
          <w:szCs w:val="20"/>
        </w:rPr>
        <w:t xml:space="preserve">Hans-Georg Gadamer, </w:t>
      </w:r>
      <w:r w:rsidRPr="00723610">
        <w:rPr>
          <w:rFonts w:ascii="Avenir Book" w:hAnsi="Avenir Book"/>
          <w:i/>
          <w:iCs/>
          <w:color w:val="000000" w:themeColor="text1"/>
          <w:sz w:val="20"/>
          <w:szCs w:val="20"/>
        </w:rPr>
        <w:t xml:space="preserve">Philosophical Hermeneutics, </w:t>
      </w:r>
      <w:r w:rsidRPr="00723610">
        <w:rPr>
          <w:rFonts w:ascii="Avenir Book" w:hAnsi="Avenir Book"/>
          <w:color w:val="000000" w:themeColor="text1"/>
          <w:sz w:val="20"/>
          <w:szCs w:val="20"/>
        </w:rPr>
        <w:t>trans. and ed.  David E. Linge (University of California Press, 1976)</w:t>
      </w:r>
      <w:r w:rsidR="00723610" w:rsidRPr="00723610">
        <w:rPr>
          <w:rFonts w:ascii="Avenir Book" w:hAnsi="Avenir Book"/>
          <w:color w:val="000000" w:themeColor="text1"/>
          <w:sz w:val="20"/>
          <w:szCs w:val="20"/>
        </w:rPr>
        <w:t xml:space="preserve">, </w:t>
      </w:r>
      <w:r w:rsidRPr="00723610">
        <w:rPr>
          <w:rFonts w:ascii="Avenir Book" w:hAnsi="Avenir Book"/>
          <w:color w:val="000000" w:themeColor="text1"/>
          <w:sz w:val="20"/>
          <w:szCs w:val="20"/>
        </w:rPr>
        <w:t>7 (emphasis added).</w:t>
      </w:r>
    </w:p>
  </w:footnote>
  <w:footnote w:id="17">
    <w:p w14:paraId="0CCF382C" w14:textId="77777777" w:rsidR="00F03192" w:rsidRPr="00723610" w:rsidRDefault="00F03192"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This should be understood as art </w:t>
      </w:r>
      <w:r w:rsidRPr="00723610">
        <w:rPr>
          <w:rFonts w:ascii="Avenir Book" w:eastAsia="Arial Unicode MS" w:hAnsi="Avenir Book" w:cs="Arial Unicode MS"/>
          <w:i/>
          <w:iCs/>
          <w:color w:val="000000" w:themeColor="text1"/>
          <w:sz w:val="20"/>
          <w:szCs w:val="20"/>
        </w:rPr>
        <w:t>truly</w:t>
      </w:r>
      <w:r w:rsidRPr="00723610">
        <w:rPr>
          <w:rFonts w:ascii="Avenir Book" w:eastAsia="Arial Unicode MS" w:hAnsi="Avenir Book" w:cs="Arial Unicode MS"/>
          <w:color w:val="000000" w:themeColor="text1"/>
          <w:sz w:val="20"/>
          <w:szCs w:val="20"/>
        </w:rPr>
        <w:t xml:space="preserve"> making a claim upon our reflective awareness rather than as art making a truth-claim which has to be tested and verified in the manner of a proposition. </w:t>
      </w:r>
    </w:p>
  </w:footnote>
  <w:footnote w:id="18">
    <w:p w14:paraId="13E2E552" w14:textId="697DB6DC" w:rsidR="005E1E3B" w:rsidRPr="00723610" w:rsidRDefault="005E1E3B"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The notion of a </w:t>
      </w:r>
      <w:r w:rsidRPr="00723610">
        <w:rPr>
          <w:rFonts w:ascii="Avenir Book" w:eastAsia="Arial Unicode MS" w:hAnsi="Avenir Book" w:cs="Arial Unicode MS"/>
          <w:i/>
          <w:iCs/>
          <w:color w:val="000000" w:themeColor="text1"/>
          <w:sz w:val="20"/>
          <w:szCs w:val="20"/>
        </w:rPr>
        <w:t>living experience</w:t>
      </w:r>
      <w:r w:rsidRPr="00723610">
        <w:rPr>
          <w:rFonts w:ascii="Avenir Book" w:eastAsia="Arial Unicode MS" w:hAnsi="Avenir Book" w:cs="Arial Unicode MS"/>
          <w:color w:val="000000" w:themeColor="text1"/>
          <w:sz w:val="20"/>
          <w:szCs w:val="20"/>
        </w:rPr>
        <w:t xml:space="preserve"> rather than ‘lived experience’ is preferable in so far as the former implies a practice that is on-going generating a continuity of evolving and changing effects. Furthermore, if experience is but a moment and making sense of that moment is a life (cf. Richard Flanagan, </w:t>
      </w:r>
      <w:r w:rsidRPr="00723610">
        <w:rPr>
          <w:rFonts w:ascii="Avenir Book" w:eastAsia="Arial Unicode MS" w:hAnsi="Avenir Book" w:cs="Arial Unicode MS"/>
          <w:i/>
          <w:iCs/>
          <w:color w:val="000000" w:themeColor="text1"/>
          <w:sz w:val="20"/>
          <w:szCs w:val="20"/>
        </w:rPr>
        <w:t xml:space="preserve">Question </w:t>
      </w:r>
      <w:r w:rsidRPr="00723610">
        <w:rPr>
          <w:rFonts w:ascii="Avenir Book" w:eastAsia="Arial Unicode MS" w:hAnsi="Avenir Book" w:cs="Arial Unicode MS"/>
          <w:color w:val="000000" w:themeColor="text1"/>
          <w:sz w:val="20"/>
          <w:szCs w:val="20"/>
        </w:rPr>
        <w:t>7 [Vintage, 2023], 84</w:t>
      </w:r>
      <w:r w:rsidR="007D57AE">
        <w:rPr>
          <w:rFonts w:ascii="Avenir Book" w:eastAsia="Arial Unicode MS" w:hAnsi="Avenir Book" w:cs="Arial Unicode MS"/>
          <w:color w:val="000000" w:themeColor="text1"/>
          <w:sz w:val="20"/>
          <w:szCs w:val="20"/>
        </w:rPr>
        <w:t>)</w:t>
      </w:r>
      <w:r w:rsidRPr="00723610">
        <w:rPr>
          <w:rFonts w:ascii="Avenir Book" w:eastAsia="Arial Unicode MS" w:hAnsi="Avenir Book" w:cs="Arial Unicode MS"/>
          <w:color w:val="000000" w:themeColor="text1"/>
          <w:sz w:val="20"/>
          <w:szCs w:val="20"/>
        </w:rPr>
        <w:t xml:space="preserve">, then the notion of a </w:t>
      </w:r>
      <w:r w:rsidRPr="00723610">
        <w:rPr>
          <w:rFonts w:ascii="Avenir Book" w:eastAsia="Arial Unicode MS" w:hAnsi="Avenir Book" w:cs="Arial Unicode MS"/>
          <w:i/>
          <w:iCs/>
          <w:color w:val="000000" w:themeColor="text1"/>
          <w:sz w:val="20"/>
          <w:szCs w:val="20"/>
        </w:rPr>
        <w:t>lived (complete) experience</w:t>
      </w:r>
      <w:r w:rsidRPr="00723610">
        <w:rPr>
          <w:rFonts w:ascii="Avenir Book" w:eastAsia="Arial Unicode MS" w:hAnsi="Avenir Book" w:cs="Arial Unicode MS"/>
          <w:color w:val="000000" w:themeColor="text1"/>
          <w:sz w:val="20"/>
          <w:szCs w:val="20"/>
        </w:rPr>
        <w:t xml:space="preserve"> empties experience of all living (i.e., on-going) content.</w:t>
      </w:r>
      <w:r w:rsidRPr="00723610">
        <w:rPr>
          <w:rFonts w:ascii="Avenir Book" w:eastAsia="Arial Unicode MS" w:hAnsi="Avenir Book" w:cs="Arial Unicode MS"/>
          <w:i/>
          <w:iCs/>
          <w:color w:val="000000" w:themeColor="text1"/>
          <w:sz w:val="20"/>
          <w:szCs w:val="20"/>
        </w:rPr>
        <w:t xml:space="preserve"> </w:t>
      </w:r>
    </w:p>
  </w:footnote>
  <w:footnote w:id="19">
    <w:p w14:paraId="02842C2C" w14:textId="77777777" w:rsidR="005E1E3B" w:rsidRPr="00723610" w:rsidRDefault="005E1E3B"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See Nishihira Tadashi, </w:t>
      </w:r>
      <w:r w:rsidRPr="00723610">
        <w:rPr>
          <w:rFonts w:ascii="Avenir Book" w:eastAsia="Arial Unicode MS" w:hAnsi="Avenir Book" w:cs="Arial Unicode MS"/>
          <w:i/>
          <w:iCs/>
          <w:color w:val="000000" w:themeColor="text1"/>
          <w:sz w:val="20"/>
          <w:szCs w:val="20"/>
        </w:rPr>
        <w:t>The Philosophy of No-Mind</w:t>
      </w:r>
      <w:r w:rsidRPr="00723610">
        <w:rPr>
          <w:rFonts w:ascii="Avenir Book" w:eastAsia="Arial Unicode MS" w:hAnsi="Avenir Book" w:cs="Arial Unicode MS"/>
          <w:color w:val="000000" w:themeColor="text1"/>
          <w:sz w:val="20"/>
          <w:szCs w:val="20"/>
        </w:rPr>
        <w:t xml:space="preserve"> (Bloomsbury, 2024), 242.</w:t>
      </w:r>
    </w:p>
  </w:footnote>
  <w:footnote w:id="20">
    <w:p w14:paraId="239F3C00" w14:textId="77777777" w:rsidR="005E1E3B" w:rsidRPr="00723610" w:rsidRDefault="005E1E3B"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Alfred, Lord Tennyson,“ Crossing the Bar,” </w:t>
      </w:r>
      <w:r w:rsidRPr="00723610">
        <w:rPr>
          <w:rFonts w:ascii="Avenir Book" w:eastAsia="Arial Unicode MS" w:hAnsi="Avenir Book" w:cs="Arial Unicode MS"/>
          <w:i/>
          <w:iCs/>
          <w:color w:val="000000" w:themeColor="text1"/>
          <w:sz w:val="20"/>
          <w:szCs w:val="20"/>
        </w:rPr>
        <w:t>The Poetry Foundation</w:t>
      </w:r>
      <w:r w:rsidRPr="00723610">
        <w:rPr>
          <w:rFonts w:ascii="Avenir Book" w:eastAsia="Arial Unicode MS" w:hAnsi="Avenir Book" w:cs="Arial Unicode MS"/>
          <w:color w:val="000000" w:themeColor="text1"/>
          <w:sz w:val="20"/>
          <w:szCs w:val="20"/>
        </w:rPr>
        <w:t xml:space="preserve">, </w:t>
      </w:r>
      <w:hyperlink r:id="rId1" w:tgtFrame="_new" w:history="1">
        <w:r w:rsidRPr="00723610">
          <w:rPr>
            <w:rStyle w:val="Hyperlink"/>
            <w:rFonts w:ascii="Avenir Book" w:eastAsia="Arial Unicode MS" w:hAnsi="Avenir Book" w:cs="Arial Unicode MS"/>
            <w:color w:val="000000" w:themeColor="text1"/>
            <w:sz w:val="20"/>
            <w:szCs w:val="20"/>
          </w:rPr>
          <w:t>https://www.poetryfoundation.org/poems/45321/crossing-the-bar</w:t>
        </w:r>
      </w:hyperlink>
      <w:r w:rsidRPr="00723610">
        <w:rPr>
          <w:rFonts w:ascii="Avenir Book" w:eastAsia="Arial Unicode MS" w:hAnsi="Avenir Book" w:cs="Arial Unicode MS"/>
          <w:color w:val="000000" w:themeColor="text1"/>
          <w:sz w:val="20"/>
          <w:szCs w:val="20"/>
        </w:rPr>
        <w:t>.</w:t>
      </w:r>
    </w:p>
  </w:footnote>
  <w:footnote w:id="21">
    <w:p w14:paraId="5FF02130" w14:textId="23AF5C53" w:rsidR="0014398F" w:rsidRPr="00723610" w:rsidRDefault="0014398F"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Hans-Georg Gadamer, </w:t>
      </w:r>
      <w:r w:rsidRPr="00723610">
        <w:rPr>
          <w:rFonts w:ascii="Avenir Book" w:eastAsia="Arial Unicode MS" w:hAnsi="Avenir Book" w:cs="Arial Unicode MS"/>
          <w:i/>
          <w:iCs/>
          <w:color w:val="000000" w:themeColor="text1"/>
          <w:sz w:val="20"/>
          <w:szCs w:val="20"/>
        </w:rPr>
        <w:t xml:space="preserve">The Relevance of the Beautiful and Other Essays, </w:t>
      </w:r>
      <w:r w:rsidRPr="00723610">
        <w:rPr>
          <w:rFonts w:ascii="Avenir Book" w:eastAsia="Arial Unicode MS" w:hAnsi="Avenir Book" w:cs="Arial Unicode MS"/>
          <w:color w:val="000000" w:themeColor="text1"/>
          <w:sz w:val="20"/>
          <w:szCs w:val="20"/>
        </w:rPr>
        <w:t xml:space="preserve">ed. Robert Bernasconi and trans. Nicholas Walker (Cambridge University Press, 1986), 10. </w:t>
      </w:r>
    </w:p>
  </w:footnote>
  <w:footnote w:id="22">
    <w:p w14:paraId="1A362773" w14:textId="77777777" w:rsidR="0014398F" w:rsidRPr="00723610" w:rsidRDefault="0014398F"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Christian </w:t>
      </w:r>
      <w:proofErr w:type="spellStart"/>
      <w:r w:rsidRPr="00723610">
        <w:rPr>
          <w:rFonts w:ascii="Avenir Book" w:eastAsia="Arial Unicode MS" w:hAnsi="Avenir Book" w:cs="Arial Unicode MS"/>
          <w:color w:val="000000" w:themeColor="text1"/>
          <w:sz w:val="20"/>
          <w:szCs w:val="20"/>
        </w:rPr>
        <w:t>Lötz</w:t>
      </w:r>
      <w:proofErr w:type="spellEnd"/>
      <w:r w:rsidRPr="00723610">
        <w:rPr>
          <w:rFonts w:ascii="Avenir Book" w:eastAsia="Arial Unicode MS" w:hAnsi="Avenir Book" w:cs="Arial Unicode MS"/>
          <w:color w:val="000000" w:themeColor="text1"/>
          <w:sz w:val="20"/>
          <w:szCs w:val="20"/>
        </w:rPr>
        <w:t xml:space="preserve">, </w:t>
      </w:r>
      <w:r w:rsidRPr="00723610">
        <w:rPr>
          <w:rFonts w:ascii="Avenir Book" w:eastAsia="Arial Unicode MS" w:hAnsi="Avenir Book" w:cs="Arial Unicode MS"/>
          <w:i/>
          <w:iCs/>
          <w:color w:val="000000" w:themeColor="text1"/>
          <w:sz w:val="20"/>
          <w:szCs w:val="20"/>
        </w:rPr>
        <w:t>The Art of Gerhard Richter</w:t>
      </w:r>
      <w:r w:rsidRPr="00723610">
        <w:rPr>
          <w:rFonts w:ascii="Avenir Book" w:eastAsia="Arial Unicode MS" w:hAnsi="Avenir Book" w:cs="Arial Unicode MS"/>
          <w:color w:val="000000" w:themeColor="text1"/>
          <w:sz w:val="20"/>
          <w:szCs w:val="20"/>
        </w:rPr>
        <w:t xml:space="preserve"> (Bloomsbury, 2017), 7. </w:t>
      </w:r>
    </w:p>
  </w:footnote>
  <w:footnote w:id="23">
    <w:p w14:paraId="2A9427AB" w14:textId="391E5DC4" w:rsidR="0014398F" w:rsidRPr="00723610" w:rsidRDefault="0014398F" w:rsidP="004458BC">
      <w:pPr>
        <w:spacing w:after="0" w:line="240" w:lineRule="auto"/>
        <w:rPr>
          <w:rFonts w:ascii="Avenir Book" w:hAnsi="Avenir Book"/>
          <w:color w:val="000000" w:themeColor="text1"/>
          <w:sz w:val="20"/>
          <w:szCs w:val="20"/>
        </w:rPr>
      </w:pPr>
      <w:r w:rsidRPr="00723610">
        <w:rPr>
          <w:rFonts w:ascii="Avenir Book" w:hAnsi="Avenir Book"/>
          <w:color w:val="000000" w:themeColor="text1"/>
          <w:sz w:val="20"/>
          <w:szCs w:val="20"/>
          <w:vertAlign w:val="superscript"/>
        </w:rPr>
        <w:footnoteRef/>
      </w:r>
      <w:r w:rsidRPr="00723610">
        <w:rPr>
          <w:rFonts w:ascii="Avenir Book" w:eastAsia="Arial Unicode MS" w:hAnsi="Avenir Book" w:cs="Arial Unicode MS"/>
          <w:color w:val="000000" w:themeColor="text1"/>
          <w:sz w:val="20"/>
          <w:szCs w:val="20"/>
        </w:rPr>
        <w:t xml:space="preserve"> Prayerful practice is not just a formal or conceptual aspect of our understanding. It is an activity that must be perpetually executed. In the words of Joel Hubick, it is “a practice that must be constantly </w:t>
      </w:r>
      <w:proofErr w:type="spellStart"/>
      <w:r w:rsidRPr="00723610">
        <w:rPr>
          <w:rFonts w:ascii="Avenir Book" w:eastAsia="Arial Unicode MS" w:hAnsi="Avenir Book" w:cs="Arial Unicode MS"/>
          <w:color w:val="000000" w:themeColor="text1"/>
          <w:sz w:val="20"/>
          <w:szCs w:val="20"/>
        </w:rPr>
        <w:t>practised</w:t>
      </w:r>
      <w:proofErr w:type="spellEnd"/>
      <w:r w:rsidRPr="00723610">
        <w:rPr>
          <w:rFonts w:ascii="Avenir Book" w:eastAsia="Arial Unicode MS" w:hAnsi="Avenir Book" w:cs="Arial Unicode MS"/>
          <w:color w:val="000000" w:themeColor="text1"/>
          <w:sz w:val="20"/>
          <w:szCs w:val="20"/>
        </w:rPr>
        <w:t xml:space="preserve"> . . . an activity that can only be ‘mastered’ through perpetual repetition.” See Joel Hubick, </w:t>
      </w:r>
      <w:r w:rsidRPr="00723610">
        <w:rPr>
          <w:rFonts w:ascii="Avenir Book" w:eastAsia="Arial Unicode MS" w:hAnsi="Avenir Book" w:cs="Arial Unicode MS"/>
          <w:i/>
          <w:iCs/>
          <w:color w:val="000000" w:themeColor="text1"/>
          <w:sz w:val="20"/>
          <w:szCs w:val="20"/>
        </w:rPr>
        <w:t>The Phenomenology of Questioning, Husserl, Heidegger and Patočka</w:t>
      </w:r>
      <w:r w:rsidRPr="00723610">
        <w:rPr>
          <w:rFonts w:ascii="Avenir Book" w:eastAsia="Arial Unicode MS" w:hAnsi="Avenir Book" w:cs="Arial Unicode MS"/>
          <w:color w:val="000000" w:themeColor="text1"/>
          <w:sz w:val="20"/>
          <w:szCs w:val="20"/>
        </w:rPr>
        <w:t xml:space="preserve"> (Bloomsbury, 2024), 214.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1090421"/>
      <w:docPartObj>
        <w:docPartGallery w:val="Page Numbers (Top of Page)"/>
        <w:docPartUnique/>
      </w:docPartObj>
    </w:sdtPr>
    <w:sdtContent>
      <w:p w14:paraId="3CF03BA4" w14:textId="3D16DD4E" w:rsidR="007F549D" w:rsidRDefault="007F549D" w:rsidP="00E32DA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11153D" w14:textId="77777777" w:rsidR="005E1E3B" w:rsidRDefault="005E1E3B" w:rsidP="007F54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248D" w14:textId="7E04AF4C" w:rsidR="00B51346" w:rsidRPr="00575A0E" w:rsidRDefault="00B51346" w:rsidP="007F549D">
    <w:pPr>
      <w:pStyle w:val="Header"/>
      <w:spacing w:after="0" w:line="240" w:lineRule="auto"/>
      <w:ind w:right="360"/>
      <w:rPr>
        <w:rFonts w:ascii="Avenir Book" w:hAnsi="Avenir Book"/>
        <w:sz w:val="20"/>
        <w:szCs w:val="20"/>
      </w:rPr>
    </w:pPr>
    <w:r w:rsidRPr="00C84A8C">
      <w:rPr>
        <w:rFonts w:ascii="Avenir Book" w:hAnsi="Avenir Book"/>
        <w:b/>
        <w:bCs/>
        <w:i/>
        <w:iCs/>
        <w:sz w:val="20"/>
        <w:szCs w:val="20"/>
      </w:rPr>
      <w:t>Journal of Gadamer Studies</w:t>
    </w:r>
    <w:r w:rsidRPr="00575A0E">
      <w:rPr>
        <w:rFonts w:ascii="Avenir Book" w:hAnsi="Avenir Book"/>
        <w:b/>
        <w:bCs/>
        <w:i/>
        <w:iCs/>
        <w:sz w:val="20"/>
        <w:szCs w:val="20"/>
      </w:rPr>
      <w:t xml:space="preserve"> </w:t>
    </w:r>
    <w:r w:rsidRPr="00575A0E">
      <w:rPr>
        <w:rFonts w:ascii="Avenir Book" w:hAnsi="Avenir Book"/>
        <w:sz w:val="20"/>
        <w:szCs w:val="20"/>
      </w:rPr>
      <w:t>1(1) (202</w:t>
    </w:r>
    <w:r w:rsidR="00304E52">
      <w:rPr>
        <w:rFonts w:ascii="Avenir Book" w:hAnsi="Avenir Book"/>
        <w:sz w:val="20"/>
        <w:szCs w:val="20"/>
      </w:rPr>
      <w:t>6</w:t>
    </w:r>
    <w:r w:rsidRPr="00575A0E">
      <w:rPr>
        <w:rFonts w:ascii="Avenir Book" w:hAnsi="Avenir Book"/>
        <w:sz w:val="20"/>
        <w:szCs w:val="20"/>
      </w:rPr>
      <w:t xml:space="preserve">) </w:t>
    </w:r>
    <w:r w:rsidR="00EF7EAE">
      <w:rPr>
        <w:rFonts w:ascii="Avenir Book" w:hAnsi="Avenir Book"/>
        <w:sz w:val="20"/>
        <w:szCs w:val="20"/>
      </w:rPr>
      <w:t>9</w:t>
    </w:r>
    <w:r w:rsidRPr="00575A0E">
      <w:rPr>
        <w:rFonts w:ascii="Avenir Book" w:hAnsi="Avenir Book"/>
        <w:sz w:val="20"/>
        <w:szCs w:val="20"/>
      </w:rPr>
      <w:t>–</w:t>
    </w:r>
    <w:r w:rsidR="00ED0DEF">
      <w:rPr>
        <w:rFonts w:ascii="Avenir Book" w:hAnsi="Avenir Book"/>
        <w:sz w:val="20"/>
        <w:szCs w:val="20"/>
      </w:rPr>
      <w:t>2</w:t>
    </w:r>
    <w:r w:rsidR="00EF7EAE">
      <w:rPr>
        <w:rFonts w:ascii="Avenir Book" w:hAnsi="Avenir Book"/>
        <w:sz w:val="20"/>
        <w:szCs w:val="20"/>
      </w:rPr>
      <w:t>7</w:t>
    </w:r>
    <w:r w:rsidRPr="00575A0E">
      <w:rPr>
        <w:rFonts w:ascii="Avenir Book" w:hAnsi="Avenir Book"/>
        <w:sz w:val="20"/>
        <w:szCs w:val="20"/>
      </w:rPr>
      <w:tab/>
    </w:r>
    <w:r w:rsidRPr="00575A0E">
      <w:rPr>
        <w:rFonts w:ascii="Avenir Book" w:hAnsi="Avenir Book"/>
        <w:sz w:val="20"/>
        <w:szCs w:val="20"/>
      </w:rPr>
      <w:tab/>
      <w:t xml:space="preserve"> </w:t>
    </w:r>
    <w:r w:rsidR="00214EF7">
      <w:rPr>
        <w:rFonts w:ascii="Avenir Book" w:hAnsi="Avenir Book"/>
        <w:i/>
        <w:iCs/>
        <w:sz w:val="20"/>
        <w:szCs w:val="20"/>
      </w:rPr>
      <w:t>Distances in Which We Live</w:t>
    </w:r>
  </w:p>
  <w:p w14:paraId="04FC5252" w14:textId="4D87AC5D" w:rsidR="00B51346" w:rsidRPr="007F549D" w:rsidRDefault="00B51346" w:rsidP="007F549D">
    <w:pPr>
      <w:pStyle w:val="Header"/>
      <w:spacing w:after="480" w:line="240" w:lineRule="auto"/>
      <w:jc w:val="center"/>
      <w:rPr>
        <w:rFonts w:ascii="Avenir Book" w:hAnsi="Avenir Book"/>
        <w:sz w:val="20"/>
        <w:szCs w:val="20"/>
      </w:rPr>
    </w:pPr>
    <w:r w:rsidRPr="00575A0E">
      <w:rPr>
        <w:rFonts w:ascii="Avenir Book" w:hAnsi="Avenir Book"/>
        <w:sz w:val="20"/>
        <w:szCs w:val="20"/>
      </w:rPr>
      <w:t>ISSN: 3069-0242</w:t>
    </w:r>
    <w:r w:rsidRPr="00575A0E">
      <w:rPr>
        <w:rFonts w:ascii="Avenir Book" w:hAnsi="Avenir Book"/>
        <w:sz w:val="20"/>
        <w:szCs w:val="20"/>
      </w:rPr>
      <w:tab/>
    </w:r>
    <w:r w:rsidRPr="00575A0E">
      <w:rPr>
        <w:rFonts w:ascii="Avenir Book" w:hAnsi="Avenir Book"/>
        <w:sz w:val="20"/>
        <w:szCs w:val="20"/>
      </w:rPr>
      <w:tab/>
    </w:r>
    <w:r w:rsidR="00214EF7">
      <w:rPr>
        <w:rFonts w:ascii="Avenir Book" w:hAnsi="Avenir Book"/>
        <w:sz w:val="20"/>
        <w:szCs w:val="20"/>
      </w:rPr>
      <w:t>Davey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FCFC" w14:textId="77777777" w:rsidR="00304E52" w:rsidRDefault="00304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9EF"/>
    <w:multiLevelType w:val="hybridMultilevel"/>
    <w:tmpl w:val="4B50B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4C33D83"/>
    <w:multiLevelType w:val="hybridMultilevel"/>
    <w:tmpl w:val="03D07A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38954834">
    <w:abstractNumId w:val="2"/>
  </w:num>
  <w:num w:numId="2" w16cid:durableId="1529172651">
    <w:abstractNumId w:val="1"/>
  </w:num>
  <w:num w:numId="3" w16cid:durableId="2048750946">
    <w:abstractNumId w:val="3"/>
  </w:num>
  <w:num w:numId="4" w16cid:durableId="74006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AF"/>
    <w:rsid w:val="00003048"/>
    <w:rsid w:val="0001183B"/>
    <w:rsid w:val="00064FD5"/>
    <w:rsid w:val="00065B3C"/>
    <w:rsid w:val="00096B3F"/>
    <w:rsid w:val="00112A5C"/>
    <w:rsid w:val="0014398F"/>
    <w:rsid w:val="001746B5"/>
    <w:rsid w:val="001904D6"/>
    <w:rsid w:val="001E6D02"/>
    <w:rsid w:val="001F75C2"/>
    <w:rsid w:val="00204689"/>
    <w:rsid w:val="00214EF7"/>
    <w:rsid w:val="00270347"/>
    <w:rsid w:val="00287498"/>
    <w:rsid w:val="002C48A2"/>
    <w:rsid w:val="002E7694"/>
    <w:rsid w:val="00304E52"/>
    <w:rsid w:val="0033117A"/>
    <w:rsid w:val="00334AB1"/>
    <w:rsid w:val="003A0293"/>
    <w:rsid w:val="003C2774"/>
    <w:rsid w:val="004458BC"/>
    <w:rsid w:val="004A0C77"/>
    <w:rsid w:val="004B2A57"/>
    <w:rsid w:val="004C266D"/>
    <w:rsid w:val="0056147B"/>
    <w:rsid w:val="00575A0E"/>
    <w:rsid w:val="00592449"/>
    <w:rsid w:val="005E1E3B"/>
    <w:rsid w:val="005F1BAF"/>
    <w:rsid w:val="006915B2"/>
    <w:rsid w:val="006953C6"/>
    <w:rsid w:val="00714830"/>
    <w:rsid w:val="00721701"/>
    <w:rsid w:val="00723610"/>
    <w:rsid w:val="007768E4"/>
    <w:rsid w:val="007B4F91"/>
    <w:rsid w:val="007C713C"/>
    <w:rsid w:val="007D57AE"/>
    <w:rsid w:val="007F549D"/>
    <w:rsid w:val="0086417B"/>
    <w:rsid w:val="008C38CE"/>
    <w:rsid w:val="008F0974"/>
    <w:rsid w:val="00952593"/>
    <w:rsid w:val="0095529A"/>
    <w:rsid w:val="00990262"/>
    <w:rsid w:val="00A00FD4"/>
    <w:rsid w:val="00A25CDB"/>
    <w:rsid w:val="00A43704"/>
    <w:rsid w:val="00A52B50"/>
    <w:rsid w:val="00A84930"/>
    <w:rsid w:val="00AB5A5E"/>
    <w:rsid w:val="00AC20E3"/>
    <w:rsid w:val="00B51346"/>
    <w:rsid w:val="00B54E3A"/>
    <w:rsid w:val="00B757DC"/>
    <w:rsid w:val="00BB251E"/>
    <w:rsid w:val="00BE32D9"/>
    <w:rsid w:val="00C24B33"/>
    <w:rsid w:val="00C84A8C"/>
    <w:rsid w:val="00CD10F7"/>
    <w:rsid w:val="00CD32EC"/>
    <w:rsid w:val="00D4272A"/>
    <w:rsid w:val="00DC6204"/>
    <w:rsid w:val="00E17BF8"/>
    <w:rsid w:val="00E72F1E"/>
    <w:rsid w:val="00E850F3"/>
    <w:rsid w:val="00ED0DEF"/>
    <w:rsid w:val="00EE4813"/>
    <w:rsid w:val="00EF3ED0"/>
    <w:rsid w:val="00EF7EAE"/>
    <w:rsid w:val="00F03192"/>
    <w:rsid w:val="00F731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1AC3"/>
  <w15:chartTrackingRefBased/>
  <w15:docId w15:val="{9EE03CFB-F940-7B4E-BC10-E1F77821C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0E"/>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iPriority w:val="9"/>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uiPriority w:val="9"/>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iPriority w:val="99"/>
    <w:semiHidden/>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uiPriority w:val="99"/>
    <w:semiHidden/>
    <w:rsid w:val="00B5134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table" w:styleId="TableGrid">
    <w:name w:val="Table Grid"/>
    <w:basedOn w:val="TableNormal"/>
    <w:uiPriority w:val="39"/>
    <w:rsid w:val="00575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A0E"/>
    <w:rPr>
      <w:color w:val="605E5C"/>
      <w:shd w:val="clear" w:color="auto" w:fill="E1DFDD"/>
    </w:rPr>
  </w:style>
  <w:style w:type="paragraph" w:customStyle="1" w:styleId="Body">
    <w:name w:val="Body"/>
    <w:rsid w:val="005F1BAF"/>
    <w:pPr>
      <w:pBdr>
        <w:top w:val="nil"/>
        <w:left w:val="nil"/>
        <w:bottom w:val="nil"/>
        <w:right w:val="nil"/>
        <w:between w:val="nil"/>
        <w:bar w:val="nil"/>
      </w:pBdr>
      <w:spacing w:after="0" w:line="360" w:lineRule="auto"/>
      <w:ind w:firstLine="540"/>
    </w:pPr>
    <w:rPr>
      <w:rFonts w:ascii="Baskerville" w:eastAsia="Arial Unicode MS" w:hAnsi="Baskerville" w:cs="Arial Unicode MS"/>
      <w:color w:val="000000"/>
      <w:sz w:val="24"/>
      <w:szCs w:val="24"/>
      <w:bdr w:val="nil"/>
      <w14:textOutline w14:w="0" w14:cap="flat" w14:cmpd="sng" w14:algn="ctr">
        <w14:noFill/>
        <w14:prstDash w14:val="solid"/>
        <w14:bevel/>
      </w14:textOutline>
    </w:rPr>
  </w:style>
  <w:style w:type="character" w:customStyle="1" w:styleId="go">
    <w:name w:val="go"/>
    <w:basedOn w:val="DefaultParagraphFont"/>
    <w:rsid w:val="00214EF7"/>
  </w:style>
  <w:style w:type="paragraph" w:customStyle="1" w:styleId="Body2">
    <w:name w:val="Body 2"/>
    <w:rsid w:val="007768E4"/>
    <w:pPr>
      <w:pBdr>
        <w:top w:val="nil"/>
        <w:left w:val="nil"/>
        <w:bottom w:val="nil"/>
        <w:right w:val="nil"/>
        <w:between w:val="nil"/>
        <w:bar w:val="nil"/>
      </w:pBdr>
      <w:spacing w:after="80" w:line="288" w:lineRule="auto"/>
    </w:pPr>
    <w:rPr>
      <w:rFonts w:ascii="Baskerville" w:eastAsia="Baskerville" w:hAnsi="Baskerville" w:cs="Baskerville"/>
      <w:color w:val="444444"/>
      <w:sz w:val="24"/>
      <w:szCs w:val="24"/>
      <w:bdr w:val="nil"/>
      <w14:textOutline w14:w="0" w14:cap="flat" w14:cmpd="sng" w14:algn="ctr">
        <w14:noFill/>
        <w14:prstDash w14:val="solid"/>
        <w14:bevel/>
      </w14:textOutline>
    </w:rPr>
  </w:style>
  <w:style w:type="character" w:styleId="FollowedHyperlink">
    <w:name w:val="FollowedHyperlink"/>
    <w:basedOn w:val="DefaultParagraphFont"/>
    <w:uiPriority w:val="99"/>
    <w:semiHidden/>
    <w:unhideWhenUsed/>
    <w:rsid w:val="00E850F3"/>
    <w:rPr>
      <w:color w:val="82B6F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5728-2198."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r.n.davey@dundee.ac.uk"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poetryfoundation.org/poems/45321/crossing-the-bar?utm_source=chatgpt.com" TargetMode="External"/><Relationship Id="rId4" Type="http://schemas.openxmlformats.org/officeDocument/2006/relationships/webSettings" Target="webSettings.xml"/><Relationship Id="rId9" Type="http://schemas.openxmlformats.org/officeDocument/2006/relationships/hyperlink" Target="https://doi.org/10.21423/y7068w74" TargetMode="Externa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poetryfoundation.org/poems/45321/crossing-the-bar?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n/Library/Group%20Containers/UBF8T346G9.Office/User%20Content.localized/Templates.localized/Journal%20of%20Gadamer%20Studies%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Journal of Gadamer Studies Template.dotx</Template>
  <TotalTime>22</TotalTime>
  <Pages>19</Pages>
  <Words>7368</Words>
  <Characters>42145</Characters>
  <Application>Microsoft Office Word</Application>
  <DocSecurity>0</DocSecurity>
  <Lines>585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15</cp:revision>
  <cp:lastPrinted>2025-12-26T22:04:00Z</cp:lastPrinted>
  <dcterms:created xsi:type="dcterms:W3CDTF">2025-12-26T22:04:00Z</dcterms:created>
  <dcterms:modified xsi:type="dcterms:W3CDTF">2025-12-28T14:14:00Z</dcterms:modified>
</cp:coreProperties>
</file>