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99C53">
      <w:pPr>
        <w:jc w:val="center"/>
        <w:rPr>
          <w:sz w:val="72"/>
          <w:szCs w:val="72"/>
        </w:rPr>
      </w:pPr>
    </w:p>
    <w:p w14:paraId="5F7C35D3">
      <w:pPr>
        <w:jc w:val="center"/>
        <w:rPr>
          <w:sz w:val="72"/>
          <w:szCs w:val="72"/>
        </w:rPr>
      </w:pPr>
    </w:p>
    <w:p w14:paraId="0A7377D3">
      <w:pPr>
        <w:jc w:val="center"/>
        <w:rPr>
          <w:rFonts w:hint="default"/>
          <w:sz w:val="72"/>
          <w:szCs w:val="72"/>
          <w:lang w:val="en-US"/>
        </w:rPr>
      </w:pPr>
      <w:r>
        <w:rPr>
          <w:rFonts w:hint="default"/>
          <w:sz w:val="72"/>
          <w:szCs w:val="72"/>
          <w:lang w:val="en-US"/>
        </w:rPr>
        <w:t>Heart Smart: A Health Promotion to Reduce Coronary Heart Disease in Australia</w:t>
      </w:r>
    </w:p>
    <w:p w14:paraId="4357E172">
      <w:pPr>
        <w:jc w:val="center"/>
        <w:rPr>
          <w:rFonts w:hint="default"/>
          <w:sz w:val="72"/>
          <w:szCs w:val="72"/>
          <w:lang w:val="en-US"/>
        </w:rPr>
      </w:pPr>
    </w:p>
    <w:p w14:paraId="1D2F3E1A">
      <w:pPr>
        <w:jc w:val="center"/>
        <w:rPr>
          <w:rFonts w:hint="default"/>
          <w:sz w:val="48"/>
          <w:szCs w:val="48"/>
          <w:lang w:val="en-US"/>
        </w:rPr>
      </w:pPr>
      <w:r>
        <w:rPr>
          <w:rFonts w:hint="default"/>
          <w:sz w:val="48"/>
          <w:szCs w:val="48"/>
          <w:lang w:val="en-US"/>
        </w:rPr>
        <w:t>Tamzid Ibne Kazim</w:t>
      </w:r>
    </w:p>
    <w:p w14:paraId="1975D146">
      <w:pPr>
        <w:jc w:val="both"/>
        <w:rPr>
          <w:sz w:val="72"/>
          <w:szCs w:val="72"/>
        </w:rPr>
      </w:pPr>
      <w:bookmarkStart w:id="0" w:name="_GoBack"/>
      <w:bookmarkEnd w:id="0"/>
      <w:r>
        <w:rPr>
          <w:sz w:val="72"/>
          <w:szCs w:val="72"/>
        </w:rPr>
        <w:br w:type="page"/>
      </w:r>
    </w:p>
    <w:p w14:paraId="18BFCE5C"/>
    <w:tbl>
      <w:tblPr>
        <w:tblStyle w:val="39"/>
        <w:tblW w:w="0" w:type="auto"/>
        <w:tblInd w:w="0" w:type="dxa"/>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Layout w:type="autofit"/>
        <w:tblCellMar>
          <w:top w:w="0" w:type="dxa"/>
          <w:left w:w="108" w:type="dxa"/>
          <w:bottom w:w="0" w:type="dxa"/>
          <w:right w:w="108" w:type="dxa"/>
        </w:tblCellMar>
      </w:tblPr>
      <w:tblGrid>
        <w:gridCol w:w="9016"/>
      </w:tblGrid>
      <w:tr w14:paraId="264B5EBA">
        <w:tc>
          <w:tcPr>
            <w:tcW w:w="9016" w:type="dxa"/>
            <w:shd w:val="clear" w:color="auto" w:fill="C1E4F5" w:themeFill="accent1" w:themeFillTint="33"/>
          </w:tcPr>
          <w:p w14:paraId="4A75DA7A">
            <w:pPr>
              <w:pStyle w:val="3"/>
              <w:spacing w:line="240" w:lineRule="auto"/>
              <w:jc w:val="left"/>
              <w:rPr>
                <w:b/>
                <w:bCs/>
              </w:rPr>
            </w:pPr>
            <w:r>
              <w:rPr>
                <w:b/>
                <w:bCs/>
              </w:rPr>
              <w:t>Grant Name</w:t>
            </w:r>
          </w:p>
        </w:tc>
      </w:tr>
      <w:tr w14:paraId="119CC706">
        <w:tc>
          <w:tcPr>
            <w:tcW w:w="9016" w:type="dxa"/>
            <w:vAlign w:val="center"/>
          </w:tcPr>
          <w:p w14:paraId="46D060A7">
            <w:pPr>
              <w:spacing w:after="0" w:line="240" w:lineRule="auto"/>
              <w:rPr>
                <w:rFonts w:hint="default"/>
                <w:b w:val="0"/>
                <w:bCs w:val="0"/>
                <w:color w:val="104862" w:themeColor="accent1" w:themeShade="BF"/>
                <w:lang w:val="en-US"/>
              </w:rPr>
            </w:pPr>
            <w:r>
              <w:rPr>
                <w:rFonts w:hint="default"/>
                <w:b w:val="0"/>
                <w:bCs w:val="0"/>
                <w:color w:val="104862" w:themeColor="accent1" w:themeShade="BF"/>
                <w:lang w:val="en-US"/>
              </w:rPr>
              <w:t>The Ian Potter Foundation Public Health Research Grant</w:t>
            </w:r>
          </w:p>
          <w:p w14:paraId="2D28CF13">
            <w:pPr>
              <w:spacing w:after="0" w:line="240" w:lineRule="auto"/>
              <w:rPr>
                <w:b/>
                <w:bCs/>
                <w:color w:val="104862" w:themeColor="accent1" w:themeShade="BF"/>
              </w:rPr>
            </w:pPr>
          </w:p>
        </w:tc>
      </w:tr>
      <w:tr w14:paraId="587B38A6">
        <w:tc>
          <w:tcPr>
            <w:tcW w:w="9016" w:type="dxa"/>
            <w:shd w:val="clear" w:color="auto" w:fill="C1E4F5" w:themeFill="accent1" w:themeFillTint="33"/>
          </w:tcPr>
          <w:p w14:paraId="347DC855">
            <w:pPr>
              <w:pStyle w:val="3"/>
              <w:spacing w:line="240" w:lineRule="auto"/>
              <w:rPr>
                <w:b/>
                <w:bCs/>
              </w:rPr>
            </w:pPr>
            <w:r>
              <w:rPr>
                <w:b/>
                <w:bCs/>
              </w:rPr>
              <w:t>Grant Funding Amount Available</w:t>
            </w:r>
          </w:p>
        </w:tc>
      </w:tr>
      <w:tr w14:paraId="3D1BB52D">
        <w:tc>
          <w:tcPr>
            <w:tcW w:w="9016" w:type="dxa"/>
            <w:vAlign w:val="center"/>
          </w:tcPr>
          <w:p w14:paraId="281107BA">
            <w:pPr>
              <w:spacing w:after="0" w:line="240" w:lineRule="auto"/>
              <w:rPr>
                <w:rFonts w:hint="default"/>
                <w:b w:val="0"/>
                <w:bCs w:val="0"/>
                <w:color w:val="104862" w:themeColor="accent1" w:themeShade="BF"/>
                <w:lang w:val="en-US"/>
              </w:rPr>
            </w:pPr>
            <w:r>
              <w:rPr>
                <w:rFonts w:hint="default"/>
                <w:b w:val="0"/>
                <w:bCs w:val="0"/>
                <w:color w:val="104862" w:themeColor="accent1" w:themeShade="BF"/>
                <w:lang w:val="en-US"/>
              </w:rPr>
              <w:t>$100,000</w:t>
            </w:r>
          </w:p>
          <w:p w14:paraId="019E9DE3">
            <w:pPr>
              <w:spacing w:after="0" w:line="240" w:lineRule="auto"/>
              <w:rPr>
                <w:b/>
                <w:bCs/>
                <w:color w:val="104862" w:themeColor="accent1" w:themeShade="BF"/>
              </w:rPr>
            </w:pPr>
          </w:p>
        </w:tc>
      </w:tr>
      <w:tr w14:paraId="4AE72233">
        <w:tc>
          <w:tcPr>
            <w:tcW w:w="9016" w:type="dxa"/>
            <w:shd w:val="clear" w:color="auto" w:fill="C1E4F5" w:themeFill="accent1" w:themeFillTint="33"/>
          </w:tcPr>
          <w:p w14:paraId="0A3914FF">
            <w:pPr>
              <w:pStyle w:val="3"/>
              <w:spacing w:line="240" w:lineRule="auto"/>
              <w:rPr>
                <w:b/>
                <w:bCs/>
              </w:rPr>
            </w:pPr>
            <w:r>
              <w:rPr>
                <w:b/>
                <w:bCs/>
              </w:rPr>
              <w:t>Grant Funding Amount Requested</w:t>
            </w:r>
          </w:p>
        </w:tc>
      </w:tr>
      <w:tr w14:paraId="0501E4C4">
        <w:tc>
          <w:tcPr>
            <w:tcW w:w="9016" w:type="dxa"/>
            <w:vAlign w:val="center"/>
          </w:tcPr>
          <w:p w14:paraId="43211640">
            <w:pPr>
              <w:spacing w:after="0" w:line="240" w:lineRule="auto"/>
              <w:rPr>
                <w:rFonts w:hint="default"/>
                <w:b w:val="0"/>
                <w:bCs w:val="0"/>
                <w:color w:val="104862" w:themeColor="accent1" w:themeShade="BF"/>
                <w:lang w:val="en-US"/>
              </w:rPr>
            </w:pPr>
            <w:r>
              <w:rPr>
                <w:rFonts w:hint="default"/>
                <w:b w:val="0"/>
                <w:bCs w:val="0"/>
                <w:color w:val="104862" w:themeColor="accent1" w:themeShade="BF"/>
                <w:lang w:val="en-US"/>
              </w:rPr>
              <w:t>$37,500</w:t>
            </w:r>
          </w:p>
          <w:p w14:paraId="55B111BA">
            <w:pPr>
              <w:spacing w:after="0" w:line="240" w:lineRule="auto"/>
              <w:rPr>
                <w:b/>
                <w:bCs/>
                <w:color w:val="104862" w:themeColor="accent1" w:themeShade="BF"/>
              </w:rPr>
            </w:pPr>
          </w:p>
        </w:tc>
      </w:tr>
    </w:tbl>
    <w:p w14:paraId="4B23D08C"/>
    <w:p w14:paraId="3439AED4">
      <w:pPr>
        <w:pStyle w:val="2"/>
      </w:pPr>
      <w:r>
        <w:t>Purpose</w:t>
      </w:r>
    </w:p>
    <w:p w14:paraId="37FFF0A9">
      <w:pPr>
        <w:jc w:val="both"/>
        <w:rPr>
          <w:rFonts w:hint="default"/>
          <w:lang w:val="en-US"/>
        </w:rPr>
      </w:pPr>
      <w:r>
        <w:rPr>
          <w:rFonts w:hint="default"/>
          <w:lang w:val="en-US"/>
        </w:rPr>
        <w:t>The Heart Smart Health Promotion Program aims in increasing cardiovascular health awareness and lifestyle behaviors in a comprehensive way among target people, men between 40-60 years old, and elderly people over 75 years old. We developed this multifaceted intervention, to address the complexity of the cardiovascular health through three main areas: risk factors awareness, adequate food and drink to prevent heart disease, and physical activities.</w:t>
      </w:r>
    </w:p>
    <w:p w14:paraId="41D516C2">
      <w:pPr>
        <w:jc w:val="both"/>
        <w:rPr>
          <w:rFonts w:hint="default"/>
          <w:lang w:val="en-US"/>
        </w:rPr>
      </w:pPr>
    </w:p>
    <w:p w14:paraId="2A51B64D">
      <w:pPr>
        <w:keepNext w:val="0"/>
        <w:keepLines w:val="0"/>
        <w:widowControl/>
        <w:suppressLineNumbers w:val="0"/>
        <w:jc w:val="both"/>
        <w:rPr>
          <w:rFonts w:hint="eastAsia" w:ascii="aptos body" w:hAnsi="aptos body" w:eastAsia="aptos body" w:cs="aptos body"/>
          <w:sz w:val="24"/>
          <w:szCs w:val="24"/>
          <w:lang w:val="en-US"/>
        </w:rPr>
      </w:pPr>
      <w:r>
        <w:rPr>
          <w:rFonts w:hint="eastAsia" w:ascii="aptos body" w:hAnsi="aptos body" w:eastAsia="aptos body" w:cs="aptos body"/>
          <w:sz w:val="24"/>
          <w:szCs w:val="24"/>
          <w:lang w:val="en-US"/>
        </w:rPr>
        <w:t xml:space="preserve">Cardiovascular Disease (CVD) is one of the highest causes of mortality in Australia and has a direct impact on the burden of cost on health care which also affects quality of life for most individuals </w:t>
      </w:r>
      <w:r>
        <w:rPr>
          <w:rFonts w:hint="eastAsia" w:ascii="aptos body" w:hAnsi="aptos body" w:eastAsia="aptos body" w:cs="aptos body"/>
          <w:i w:val="0"/>
          <w:iCs w:val="0"/>
          <w:caps w:val="0"/>
          <w:color w:val="000000"/>
          <w:spacing w:val="0"/>
          <w:kern w:val="0"/>
          <w:sz w:val="24"/>
          <w:szCs w:val="24"/>
          <w:u w:val="none"/>
          <w:lang w:val="en-US" w:eastAsia="zh-CN" w:bidi="ar"/>
          <w14:ligatures w14:val="standardContextual"/>
        </w:rPr>
        <w:t xml:space="preserve">(The Heart Research Institute, 2024). </w:t>
      </w:r>
      <w:r>
        <w:rPr>
          <w:rFonts w:hint="eastAsia" w:ascii="aptos body" w:hAnsi="aptos body" w:eastAsia="aptos body" w:cs="aptos body"/>
          <w:sz w:val="24"/>
          <w:szCs w:val="24"/>
          <w:lang w:val="en-US"/>
        </w:rPr>
        <w:t>By addressing the issue through targeted intervention, our aim is to educate people about the risks of poor heart health, and equip them with skills and tools to make healthier choices in their living. This can be approached through workshops, physical activities in the community and dietary support.</w:t>
      </w:r>
    </w:p>
    <w:p w14:paraId="0143C5D6">
      <w:pPr>
        <w:jc w:val="both"/>
        <w:rPr>
          <w:rFonts w:hint="default"/>
          <w:lang w:val="en-US"/>
        </w:rPr>
      </w:pPr>
    </w:p>
    <w:p w14:paraId="6EC0AF9A">
      <w:pPr>
        <w:keepNext w:val="0"/>
        <w:keepLines w:val="0"/>
        <w:widowControl/>
        <w:suppressLineNumbers w:val="0"/>
        <w:jc w:val="both"/>
        <w:rPr>
          <w:rFonts w:hint="default"/>
          <w:lang w:val="en-US"/>
        </w:rPr>
      </w:pPr>
      <w:r>
        <w:rPr>
          <w:rFonts w:hint="default"/>
          <w:lang w:val="en-US"/>
        </w:rPr>
        <w:t xml:space="preserve">This program also supports the funding priorities of the Ian Potter Foundation, which focuses on improving public health through better health outcomes. </w:t>
      </w:r>
      <w:r>
        <w:rPr>
          <w:rFonts w:hint="eastAsia" w:ascii="aptos (body)" w:hAnsi="aptos (body)" w:eastAsia="aptos (body)" w:cs="aptos (body)"/>
          <w:sz w:val="24"/>
          <w:szCs w:val="24"/>
          <w:lang w:val="en-US"/>
        </w:rPr>
        <w:t>Sir Ian Potter (1902–1994), an Australian philanthropist, businessman, and banker, founded the Foundation in 1964</w:t>
      </w:r>
      <w:r>
        <w:rPr>
          <w:rFonts w:hint="default" w:ascii="aptos (body)" w:hAnsi="aptos (body)" w:eastAsia="aptos (body)" w:cs="aptos (body)"/>
          <w:sz w:val="24"/>
          <w:szCs w:val="24"/>
          <w:lang w:val="en-US"/>
        </w:rPr>
        <w:t xml:space="preserve"> </w:t>
      </w:r>
      <w:r>
        <w:rPr>
          <w:rFonts w:ascii="-webkit-standard" w:hAnsi="-webkit-standard" w:eastAsia="-webkit-standard" w:cs="-webkit-standard"/>
          <w:i w:val="0"/>
          <w:iCs w:val="0"/>
          <w:caps w:val="0"/>
          <w:color w:val="000000"/>
          <w:spacing w:val="0"/>
          <w:kern w:val="0"/>
          <w:sz w:val="27"/>
          <w:szCs w:val="27"/>
          <w:u w:val="none"/>
          <w:lang w:val="en-US" w:eastAsia="zh-CN" w:bidi="ar"/>
          <w14:ligatures w14:val="standardContextual"/>
        </w:rPr>
        <w:t>(</w:t>
      </w:r>
      <w:r>
        <w:rPr>
          <w:rFonts w:ascii="SimSun" w:hAnsi="SimSun" w:eastAsia="SimSun" w:cs="SimSun"/>
          <w:i w:val="0"/>
          <w:iCs w:val="0"/>
          <w:caps w:val="0"/>
          <w:color w:val="000000"/>
          <w:spacing w:val="0"/>
          <w:kern w:val="0"/>
          <w:sz w:val="24"/>
          <w:szCs w:val="24"/>
          <w:u w:val="none"/>
          <w:lang w:val="en-US" w:eastAsia="zh-CN" w:bidi="ar"/>
          <w14:ligatures w14:val="standardContextual"/>
        </w:rPr>
        <w:t>Our Vision</w:t>
      </w:r>
      <w:r>
        <w:rPr>
          <w:rFonts w:hint="default" w:ascii="-webkit-standard" w:hAnsi="-webkit-standard" w:eastAsia="-webkit-standard" w:cs="-webkit-standard"/>
          <w:i w:val="0"/>
          <w:iCs w:val="0"/>
          <w:caps w:val="0"/>
          <w:color w:val="000000"/>
          <w:spacing w:val="0"/>
          <w:kern w:val="0"/>
          <w:sz w:val="27"/>
          <w:szCs w:val="27"/>
          <w:u w:val="none"/>
          <w:lang w:val="en-US" w:eastAsia="zh-CN" w:bidi="ar"/>
          <w14:ligatures w14:val="standardContextual"/>
        </w:rPr>
        <w:t>, n.d.).</w:t>
      </w:r>
      <w:r>
        <w:rPr>
          <w:rFonts w:hint="eastAsia" w:ascii="aptos (body)" w:hAnsi="aptos (body)" w:eastAsia="aptos (body)" w:cs="aptos (body)"/>
          <w:sz w:val="24"/>
          <w:szCs w:val="24"/>
          <w:lang w:val="en-US"/>
        </w:rPr>
        <w:t xml:space="preserve"> Sir Ian's management of the Australian Elizabethan Theatre Trust, the Australian Opera, and the Australian Ballet served as the impetus for the Foundation's longstanding sponsorship of significant performing arts organizations </w:t>
      </w:r>
      <w:r>
        <w:rPr>
          <w:rFonts w:hint="eastAsia" w:ascii="aptos (body)" w:hAnsi="aptos (body)" w:eastAsia="aptos (body)" w:cs="aptos (body)"/>
          <w:i w:val="0"/>
          <w:iCs w:val="0"/>
          <w:caps w:val="0"/>
          <w:color w:val="000000"/>
          <w:spacing w:val="0"/>
          <w:kern w:val="0"/>
          <w:sz w:val="24"/>
          <w:szCs w:val="24"/>
          <w:u w:val="none"/>
          <w:lang w:val="en-US" w:eastAsia="zh-CN" w:bidi="ar"/>
          <w14:ligatures w14:val="standardContextual"/>
        </w:rPr>
        <w:t>(Our History, n.d.).</w:t>
      </w:r>
      <w:r>
        <w:rPr>
          <w:rFonts w:hint="default" w:ascii="aptos (body)" w:hAnsi="aptos (body)" w:eastAsia="aptos (body)" w:cs="aptos (body)"/>
          <w:i w:val="0"/>
          <w:iCs w:val="0"/>
          <w:caps w:val="0"/>
          <w:color w:val="000000"/>
          <w:spacing w:val="0"/>
          <w:kern w:val="0"/>
          <w:sz w:val="24"/>
          <w:szCs w:val="24"/>
          <w:u w:val="none"/>
          <w:lang w:val="en-US" w:eastAsia="zh-CN" w:bidi="ar"/>
          <w14:ligatures w14:val="standardContextual"/>
        </w:rPr>
        <w:t xml:space="preserve"> </w:t>
      </w:r>
      <w:r>
        <w:rPr>
          <w:rFonts w:hint="default"/>
          <w:lang w:val="en-US"/>
        </w:rPr>
        <w:t>Cardiovascular disease is the leading global cause of death and productivity loss, and the leading cause of death in men in Australia. Moreover, cardiovascular disease propels individuals into middle age or into the retirement years, and into gross social and economic disadvantage within people over 50 and for men overall. Our large-scale, health promotion program funded by the Ian Potter Foundation will allow us to draw on evidence-based practices that can fully engage individuals in changing their behaviour sustainably.</w:t>
      </w:r>
    </w:p>
    <w:p w14:paraId="1598FB62">
      <w:pPr>
        <w:jc w:val="both"/>
        <w:rPr>
          <w:rFonts w:hint="default"/>
          <w:lang w:val="en-US"/>
        </w:rPr>
      </w:pPr>
      <w:r>
        <w:rPr>
          <w:rFonts w:hint="default"/>
          <w:lang w:val="en-US"/>
        </w:rPr>
        <w:t>In this way, we hope to lower the burden of cardiovascular disease as a whole – which would benefit the health of the community and reduce the financial burden on health services. If we can achieve these aims, we would ultimately enhance population health and reduce health system costs in line with the Australian Government’s broader public health agenda of building healthier communities that deliver quality and sustainable health care at lower cost.</w:t>
      </w:r>
    </w:p>
    <w:p w14:paraId="03036F06"/>
    <w:p w14:paraId="28AE9A85">
      <w:pPr>
        <w:pStyle w:val="2"/>
      </w:pPr>
      <w:r>
        <w:t>Justification</w:t>
      </w:r>
    </w:p>
    <w:p w14:paraId="5F91F85E">
      <w:pPr>
        <w:keepNext w:val="0"/>
        <w:keepLines w:val="0"/>
        <w:widowControl/>
        <w:suppressLineNumbers w:val="0"/>
        <w:jc w:val="both"/>
        <w:rPr>
          <w:sz w:val="24"/>
          <w:szCs w:val="24"/>
        </w:rPr>
      </w:pPr>
      <w:r>
        <w:rPr>
          <w:rFonts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 xml:space="preserve">Cardiovascular disease is one of the major health problems in Australia, accounting for almost 11% of all hospital admissions </w:t>
      </w:r>
      <w:r>
        <w:rPr>
          <w:rFonts w:ascii="-webkit-standard" w:hAnsi="-webkit-standard" w:eastAsia="-webkit-standard" w:cs="-webkit-standard"/>
          <w:i w:val="0"/>
          <w:iCs w:val="0"/>
          <w:caps w:val="0"/>
          <w:color w:val="000000"/>
          <w:spacing w:val="0"/>
          <w:kern w:val="0"/>
          <w:sz w:val="27"/>
          <w:szCs w:val="27"/>
          <w:u w:val="none"/>
          <w:lang w:val="en-US" w:eastAsia="zh-CN" w:bidi="ar"/>
          <w14:ligatures w14:val="standardContextual"/>
        </w:rPr>
        <w:t>(</w:t>
      </w:r>
      <w:r>
        <w:rPr>
          <w:rFonts w:ascii="SimSun" w:hAnsi="SimSun" w:eastAsia="SimSun" w:cs="SimSun"/>
          <w:i w:val="0"/>
          <w:iCs w:val="0"/>
          <w:caps w:val="0"/>
          <w:color w:val="000000"/>
          <w:spacing w:val="0"/>
          <w:kern w:val="0"/>
          <w:sz w:val="24"/>
          <w:szCs w:val="24"/>
          <w:u w:val="none"/>
          <w:lang w:val="en-US" w:eastAsia="zh-CN" w:bidi="ar"/>
          <w14:ligatures w14:val="standardContextual"/>
        </w:rPr>
        <w:t>Key Statistics: Cardiovascular Disease</w:t>
      </w:r>
      <w:r>
        <w:rPr>
          <w:rFonts w:hint="default" w:ascii="-webkit-standard" w:hAnsi="-webkit-standard" w:eastAsia="-webkit-standard" w:cs="-webkit-standard"/>
          <w:i w:val="0"/>
          <w:iCs w:val="0"/>
          <w:caps w:val="0"/>
          <w:color w:val="000000"/>
          <w:spacing w:val="0"/>
          <w:kern w:val="0"/>
          <w:sz w:val="27"/>
          <w:szCs w:val="27"/>
          <w:u w:val="none"/>
          <w:lang w:val="en-US" w:eastAsia="zh-CN" w:bidi="ar"/>
          <w14:ligatures w14:val="standardContextual"/>
        </w:rPr>
        <w:t>, 2024)</w:t>
      </w:r>
      <w:r>
        <w:rPr>
          <w:rFonts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 Health promotion strategies are designed and put into operation; however, inequities remain, particularly in some subpopulations, including the rural and disadvantaged groups. Most activities offered are generally mainstreamed and henceforth unable to meet the special needs of subpopulations through targeted intervention.</w:t>
      </w:r>
    </w:p>
    <w:p w14:paraId="5193E75A">
      <w:pPr>
        <w:jc w:val="both"/>
        <w:rPr>
          <w:sz w:val="24"/>
          <w:szCs w:val="24"/>
        </w:rPr>
      </w:pPr>
    </w:p>
    <w:p w14:paraId="21CA59E5">
      <w:pPr>
        <w:jc w:val="both"/>
        <w:rPr>
          <w:rFonts w:hint="default"/>
          <w:b/>
          <w:bCs/>
          <w:sz w:val="24"/>
          <w:szCs w:val="24"/>
          <w:u w:val="single"/>
          <w:lang w:val="en-US"/>
        </w:rPr>
      </w:pPr>
      <w:r>
        <w:rPr>
          <w:rFonts w:hint="default"/>
          <w:b/>
          <w:bCs/>
          <w:sz w:val="24"/>
          <w:szCs w:val="24"/>
          <w:u w:val="single"/>
          <w:lang w:val="en-US"/>
        </w:rPr>
        <w:t>Existing Programs</w:t>
      </w:r>
    </w:p>
    <w:p w14:paraId="383F2908">
      <w:pPr>
        <w:keepNext w:val="0"/>
        <w:keepLines w:val="0"/>
        <w:widowControl/>
        <w:suppressLineNumbers w:val="0"/>
        <w:jc w:val="both"/>
        <w:rPr>
          <w:rFonts w:hint="default"/>
          <w:lang w:val="en-US"/>
        </w:rPr>
      </w:pPr>
      <w:r>
        <w:rPr>
          <w:rFonts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A</w:t>
      </w:r>
      <w:r>
        <w:rPr>
          <w:rFonts w:hint="default"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part from</w:t>
      </w:r>
      <w:r>
        <w:rPr>
          <w:rFonts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 xml:space="preserve"> the available programs on health promotion, various initiatives have been mounted concerning fighting CVD</w:t>
      </w:r>
      <w:r>
        <w:rPr>
          <w:rFonts w:hint="default"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 xml:space="preserve"> (Cardiovascular Disease)</w:t>
      </w:r>
      <w:r>
        <w:rPr>
          <w:rFonts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 xml:space="preserve"> like the National Heart Foundation campaigns. These are usually very broad and do not allow for a more localized approach that may be sensitive to cultural issues and specific forms of community engagement</w:t>
      </w:r>
      <w:r>
        <w:rPr>
          <w:rFonts w:hint="default" w:ascii="Open Sans" w:hAnsi="Open Sans" w:eastAsia="Open Sans" w:cs="Open Sans"/>
          <w:i w:val="0"/>
          <w:iCs w:val="0"/>
          <w:caps w:val="0"/>
          <w:color w:val="000000"/>
          <w:spacing w:val="3"/>
          <w:kern w:val="0"/>
          <w:sz w:val="24"/>
          <w:szCs w:val="24"/>
          <w:u w:val="none"/>
          <w:shd w:val="clear" w:fill="FFFFFF"/>
          <w:lang w:val="en-US" w:eastAsia="zh-CN" w:bidi="ar"/>
          <w14:ligatures w14:val="standardContextual"/>
        </w:rPr>
        <w:t xml:space="preserve"> (Hassen et al., 2021). </w:t>
      </w:r>
    </w:p>
    <w:p w14:paraId="139BEB9F"/>
    <w:p w14:paraId="2042E939">
      <w:pPr>
        <w:keepNext w:val="0"/>
        <w:keepLines w:val="0"/>
        <w:widowControl/>
        <w:suppressLineNumbers w:val="0"/>
        <w:jc w:val="both"/>
        <w:rPr>
          <w:rFonts w:hint="default" w:ascii="aptos body" w:hAnsi="aptos body" w:eastAsia="aptos body" w:cs="aptos body"/>
          <w:sz w:val="24"/>
          <w:szCs w:val="24"/>
          <w:lang w:val="en-US"/>
        </w:rPr>
      </w:pPr>
      <w:r>
        <w:rPr>
          <w:rFonts w:hint="eastAsia" w:ascii="aptos body" w:hAnsi="aptos body" w:eastAsia="aptos body" w:cs="aptos body"/>
          <w:sz w:val="24"/>
          <w:szCs w:val="24"/>
        </w:rPr>
        <w:t>For instance, the Ian Potter Foundation funds only those public health initiatives which emphasize community involvement and individualistic measures. The most crucial missing element in almost all the current efforts is the inclusion of community-based health workers along with culturally sensitive practices</w:t>
      </w:r>
      <w:r>
        <w:rPr>
          <w:rFonts w:hint="eastAsia" w:ascii="aptos body" w:hAnsi="aptos body" w:eastAsia="aptos body" w:cs="aptos body"/>
          <w:sz w:val="24"/>
          <w:szCs w:val="24"/>
          <w:lang w:val="en-US"/>
        </w:rPr>
        <w:t xml:space="preserve"> </w:t>
      </w:r>
      <w:r>
        <w:rPr>
          <w:rFonts w:hint="eastAsia" w:ascii="aptos body" w:hAnsi="aptos body" w:eastAsia="aptos body" w:cs="aptos body"/>
          <w:i w:val="0"/>
          <w:iCs w:val="0"/>
          <w:caps w:val="0"/>
          <w:color w:val="000000"/>
          <w:spacing w:val="0"/>
          <w:kern w:val="0"/>
          <w:sz w:val="24"/>
          <w:szCs w:val="24"/>
          <w:u w:val="none"/>
          <w:lang w:val="en-US" w:eastAsia="zh-CN" w:bidi="ar"/>
          <w14:ligatures w14:val="standardContextual"/>
        </w:rPr>
        <w:t>(Funding Pillars, n.d.)</w:t>
      </w:r>
      <w:r>
        <w:rPr>
          <w:rFonts w:hint="default" w:ascii="aptos body" w:hAnsi="aptos body" w:eastAsia="aptos body" w:cs="aptos body"/>
          <w:i w:val="0"/>
          <w:iCs w:val="0"/>
          <w:caps w:val="0"/>
          <w:color w:val="000000"/>
          <w:spacing w:val="0"/>
          <w:kern w:val="0"/>
          <w:sz w:val="24"/>
          <w:szCs w:val="24"/>
          <w:u w:val="none"/>
          <w:lang w:val="en-US" w:eastAsia="zh-CN" w:bidi="ar"/>
          <w14:ligatures w14:val="standardContextual"/>
        </w:rPr>
        <w:t xml:space="preserve">. </w:t>
      </w:r>
    </w:p>
    <w:p w14:paraId="7ADD5E18">
      <w:pPr>
        <w:rPr>
          <w:rFonts w:hint="default"/>
          <w:lang w:val="en-US"/>
        </w:rPr>
      </w:pPr>
    </w:p>
    <w:p w14:paraId="193E3E8B">
      <w:pPr>
        <w:rPr>
          <w:rFonts w:hint="default"/>
          <w:b/>
          <w:bCs/>
          <w:u w:val="single"/>
          <w:lang w:val="en-US" w:eastAsia="zh-CN"/>
        </w:rPr>
      </w:pPr>
      <w:r>
        <w:rPr>
          <w:rFonts w:hint="default"/>
          <w:b/>
          <w:bCs/>
          <w:u w:val="single"/>
          <w:lang w:val="en-US"/>
        </w:rPr>
        <w:t>Identified Gap</w:t>
      </w:r>
    </w:p>
    <w:p w14:paraId="6081992E">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r>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t>This project was developed through extensive consultations with stakeholders in the community, including local health professionals, community leaders, and potential participants. We aimed to thoroughly evaluate the current needs, barriers, and opportunities related to cardiovascular health education. By adopting a participatory approach, we made sure that community voices were heard and incorporated into the program's design. This model of active engagement allows us to co-create solutions that are not only effective but also resonate with the target population, fostering a sense of ownership and commitment to the program.</w:t>
      </w:r>
    </w:p>
    <w:p w14:paraId="32C3D72C">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p>
    <w:p w14:paraId="2FA861F6">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r>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t xml:space="preserve">Focusing on culturally relevant interventions is essential for enhancing engagement and participation. By understanding the specific cultural contexts and preferences of our target demographic, we can tailor our messages and methods to be more relatable and appealing </w:t>
      </w:r>
      <w:r>
        <w:rPr>
          <w:rFonts w:ascii="-webkit-standard" w:hAnsi="-webkit-standard" w:eastAsia="-webkit-standard" w:cs="-webkit-standard"/>
          <w:i w:val="0"/>
          <w:iCs w:val="0"/>
          <w:caps w:val="0"/>
          <w:color w:val="000000"/>
          <w:spacing w:val="0"/>
          <w:kern w:val="0"/>
          <w:sz w:val="24"/>
          <w:szCs w:val="24"/>
          <w:u w:val="none"/>
          <w:lang w:val="en-US" w:eastAsia="zh-CN" w:bidi="ar"/>
          <w14:ligatures w14:val="standardContextual"/>
        </w:rPr>
        <w:t>(Henderson et al., 2011)</w:t>
      </w:r>
      <w:r>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t>. For example, we will integrate culturally significant dietary practices and lifestyle preferences into our nutrition workshops and physical activity programs. This strategy creates a supportive environment where participants feel acknowledged and valued, significantly increasing their willingness to adopt heart-healthy behaviors.</w:t>
      </w:r>
    </w:p>
    <w:p w14:paraId="49E3C291">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p>
    <w:p w14:paraId="22A3A803">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r>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t>To support these culturally tailored strategies, the program will offer a variety of resources and educational materials that reflect the community's language and cultural norms. This could involve creating bilingual educational materials, hosting community seminars led by local health figures, and organizing workshops that highlight culturally appropriate cooking practices. By blending local culinary traditions with heart-healthy recipes, we not only spark participant interest but also promote the idea that healthy eating can be both enjoyable and accessible.</w:t>
      </w:r>
    </w:p>
    <w:p w14:paraId="6D8C57A0">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p>
    <w:p w14:paraId="587110EE">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r>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t>This program aims to actively engage the community and remain culturally relevant, fostering an inclusive environment that promotes ongoing conversations between community members and health professionals. By implementing continuous feedback mechanisms, we can assess how well the program is working and make necessary changes to better address the evolving needs of participants. Ultimately, this collaborative and culturally sensitive approach is expected to not only improve the program's effectiveness in changing attitudes and behaviors related to heart health but also to promote a community-focused strategy for long-term health enhancement.</w:t>
      </w:r>
    </w:p>
    <w:p w14:paraId="55521DDD">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p>
    <w:p w14:paraId="6F0853EA">
      <w:pPr>
        <w:keepNext w:val="0"/>
        <w:keepLines w:val="0"/>
        <w:widowControl/>
        <w:suppressLineNumbers w:val="0"/>
        <w:jc w:val="both"/>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pPr>
      <w:r>
        <w:rPr>
          <w:rFonts w:hint="default" w:eastAsia="-webkit-standard" w:asciiTheme="minorAscii" w:hAnsiTheme="minorAscii"/>
          <w:i w:val="0"/>
          <w:iCs w:val="0"/>
          <w:caps w:val="0"/>
          <w:color w:val="000000"/>
          <w:spacing w:val="0"/>
          <w:kern w:val="0"/>
          <w:sz w:val="24"/>
          <w:szCs w:val="24"/>
          <w:u w:val="none"/>
          <w:lang w:val="en-US" w:eastAsia="zh-CN"/>
          <w14:ligatures w14:val="standardContextual"/>
        </w:rPr>
        <w:t>By emphasizing these aspects, the proposed program stands out as more than just another health initiative; it represents a comprehensive strategy designed to cultivate lasting heart-healthy habits within the community. This is essential for driving a wider transition towards sustainable health practices and enhancing cardiovascular health outcomes among diverse populations, while also highlighting the critical role of community involvement in public health efforts.</w:t>
      </w:r>
    </w:p>
    <w:p w14:paraId="4122EA05">
      <w:pPr>
        <w:keepNext w:val="0"/>
        <w:keepLines w:val="0"/>
        <w:widowControl/>
        <w:suppressLineNumbers w:val="0"/>
        <w:jc w:val="both"/>
        <w:rPr>
          <w:rFonts w:hint="default" w:eastAsia="-webkit-standard" w:cs="-webkit-standard" w:asciiTheme="minorAscii" w:hAnsiTheme="minorAscii"/>
          <w:i w:val="0"/>
          <w:iCs w:val="0"/>
          <w:caps w:val="0"/>
          <w:color w:val="000000"/>
          <w:spacing w:val="0"/>
          <w:kern w:val="0"/>
          <w:sz w:val="24"/>
          <w:szCs w:val="24"/>
          <w:u w:val="none"/>
          <w:lang w:val="en-US" w:eastAsia="zh-CN" w:bidi="ar"/>
          <w14:ligatures w14:val="standardContextual"/>
        </w:rPr>
      </w:pPr>
    </w:p>
    <w:p w14:paraId="53AEE728">
      <w:pPr>
        <w:keepNext w:val="0"/>
        <w:keepLines w:val="0"/>
        <w:widowControl/>
        <w:suppressLineNumbers w:val="0"/>
        <w:jc w:val="both"/>
        <w:rPr>
          <w:rFonts w:hint="default" w:eastAsia="-webkit-standard" w:cs="-webkit-standard" w:asciiTheme="minorAscii" w:hAnsiTheme="minorAscii"/>
          <w:b/>
          <w:bCs/>
          <w:i w:val="0"/>
          <w:iCs w:val="0"/>
          <w:caps w:val="0"/>
          <w:color w:val="000000"/>
          <w:spacing w:val="0"/>
          <w:kern w:val="0"/>
          <w:sz w:val="24"/>
          <w:szCs w:val="24"/>
          <w:u w:val="single"/>
          <w:lang w:val="en-US" w:eastAsia="zh-CN" w:bidi="ar"/>
          <w14:ligatures w14:val="standardContextual"/>
        </w:rPr>
      </w:pPr>
      <w:r>
        <w:rPr>
          <w:rFonts w:hint="default" w:eastAsia="-webkit-standard" w:cs="-webkit-standard" w:asciiTheme="minorAscii" w:hAnsiTheme="minorAscii"/>
          <w:b/>
          <w:bCs/>
          <w:i w:val="0"/>
          <w:iCs w:val="0"/>
          <w:caps w:val="0"/>
          <w:color w:val="000000"/>
          <w:spacing w:val="0"/>
          <w:kern w:val="0"/>
          <w:sz w:val="24"/>
          <w:szCs w:val="24"/>
          <w:u w:val="single"/>
          <w:lang w:val="en-US" w:eastAsia="zh-CN" w:bidi="ar"/>
          <w14:ligatures w14:val="standardContextual"/>
        </w:rPr>
        <w:t>Proposed Solution</w:t>
      </w:r>
    </w:p>
    <w:p w14:paraId="62A7A6F6">
      <w:pPr>
        <w:jc w:val="both"/>
        <w:rPr>
          <w:rFonts w:hint="default"/>
          <w:lang w:val="en-US"/>
        </w:rPr>
      </w:pPr>
    </w:p>
    <w:p w14:paraId="5F9CA772">
      <w:pPr>
        <w:jc w:val="both"/>
        <w:rPr>
          <w:rFonts w:hint="default"/>
          <w:lang w:val="en-US"/>
        </w:rPr>
      </w:pPr>
      <w:r>
        <w:rPr>
          <w:rFonts w:hint="default"/>
          <w:lang w:val="en-US"/>
        </w:rPr>
        <w:t>Our health promotion program consists of an improved access to preventive treatments: a smoking-cessation program in cooperation with neighbourhood health professionals, meal plans presented on a monthly basis by professional nutritionists. The strategies for raising awareness and habit change motivation include social marketing through social media and neighbourhood gatherings.</w:t>
      </w:r>
    </w:p>
    <w:p w14:paraId="39A04AA7">
      <w:pPr>
        <w:jc w:val="both"/>
        <w:rPr>
          <w:rFonts w:hint="default"/>
          <w:lang w:val="en-US"/>
        </w:rPr>
      </w:pPr>
      <w:r>
        <w:rPr>
          <w:rFonts w:hint="default"/>
          <w:lang w:val="en-US"/>
        </w:rPr>
        <w:t>By the end of the first year, some achievable, measurable goals will be:</w:t>
      </w:r>
    </w:p>
    <w:p w14:paraId="2ED9FAFB">
      <w:pPr>
        <w:jc w:val="both"/>
        <w:rPr>
          <w:rFonts w:hint="default"/>
          <w:lang w:val="en-US"/>
        </w:rPr>
      </w:pPr>
    </w:p>
    <w:p w14:paraId="021E8CA5">
      <w:pPr>
        <w:jc w:val="both"/>
        <w:rPr>
          <w:rFonts w:hint="default"/>
          <w:lang w:val="en-US"/>
        </w:rPr>
      </w:pPr>
      <w:r>
        <w:rPr>
          <w:rFonts w:hint="default"/>
          <w:lang w:val="en-US"/>
        </w:rPr>
        <w:t xml:space="preserve">• </w:t>
      </w:r>
      <w:r>
        <w:rPr>
          <w:rFonts w:hint="default"/>
          <w:b/>
          <w:bCs/>
          <w:lang w:val="en-US"/>
        </w:rPr>
        <w:t>Objective 1:</w:t>
      </w:r>
      <w:r>
        <w:rPr>
          <w:rFonts w:hint="default"/>
          <w:lang w:val="en-US"/>
        </w:rPr>
        <w:t xml:space="preserve"> Increase the awareness of risks for heart health in 70 percent of the population. </w:t>
      </w:r>
    </w:p>
    <w:p w14:paraId="7D8F518E">
      <w:pPr>
        <w:jc w:val="both"/>
        <w:rPr>
          <w:rFonts w:hint="default"/>
          <w:lang w:val="en-US"/>
        </w:rPr>
      </w:pPr>
      <w:r>
        <w:rPr>
          <w:rFonts w:hint="default"/>
          <w:lang w:val="en-US"/>
        </w:rPr>
        <w:t xml:space="preserve">• </w:t>
      </w:r>
      <w:r>
        <w:rPr>
          <w:rFonts w:hint="default"/>
          <w:b/>
          <w:bCs/>
          <w:lang w:val="en-US"/>
        </w:rPr>
        <w:t>Objective 2:</w:t>
      </w:r>
      <w:r>
        <w:rPr>
          <w:rFonts w:hint="default"/>
          <w:lang w:val="en-US"/>
        </w:rPr>
        <w:t xml:space="preserve"> Reduce by 20 percent the percent of people who engage in insufficient physical activity.</w:t>
      </w:r>
    </w:p>
    <w:p w14:paraId="6E39090D">
      <w:pPr>
        <w:jc w:val="both"/>
        <w:rPr>
          <w:rFonts w:hint="default"/>
          <w:lang w:val="en-US"/>
        </w:rPr>
      </w:pPr>
      <w:r>
        <w:rPr>
          <w:rFonts w:hint="default"/>
          <w:lang w:val="en-US"/>
        </w:rPr>
        <w:t xml:space="preserve">• </w:t>
      </w:r>
      <w:r>
        <w:rPr>
          <w:rFonts w:hint="default"/>
          <w:b/>
          <w:bCs/>
          <w:lang w:val="en-US"/>
        </w:rPr>
        <w:t>Objective 3:</w:t>
      </w:r>
      <w:r>
        <w:rPr>
          <w:rFonts w:hint="default"/>
          <w:lang w:val="en-US"/>
        </w:rPr>
        <w:t xml:space="preserve"> Increase the proportion of people who consume a cardiovascular healthy diet to 30 percent.</w:t>
      </w:r>
    </w:p>
    <w:p w14:paraId="22E43EA0">
      <w:pPr>
        <w:jc w:val="both"/>
        <w:rPr>
          <w:rFonts w:hint="default"/>
          <w:lang w:val="en-US"/>
        </w:rPr>
      </w:pPr>
      <w:r>
        <w:rPr>
          <w:rFonts w:hint="default"/>
          <w:lang w:val="en-US"/>
        </w:rPr>
        <w:t xml:space="preserve">• </w:t>
      </w:r>
      <w:r>
        <w:rPr>
          <w:rFonts w:hint="default"/>
          <w:b/>
          <w:bCs/>
          <w:lang w:val="en-US"/>
        </w:rPr>
        <w:t>Objective 4:</w:t>
      </w:r>
      <w:r>
        <w:rPr>
          <w:rFonts w:hint="default"/>
          <w:lang w:val="en-US"/>
        </w:rPr>
        <w:t xml:space="preserve"> Develop three new health programs annually to improve access to preventive services.</w:t>
      </w:r>
    </w:p>
    <w:p w14:paraId="5E9F7CA4">
      <w:pPr>
        <w:jc w:val="both"/>
        <w:rPr>
          <w:rFonts w:hint="default"/>
          <w:lang w:val="en-US"/>
        </w:rPr>
      </w:pPr>
      <w:r>
        <w:rPr>
          <w:rFonts w:hint="default"/>
          <w:lang w:val="en-US"/>
        </w:rPr>
        <w:t>These evidence-based practices allow the inclusion of active engagement and training that will allow changes in behavior over a long period.</w:t>
      </w:r>
    </w:p>
    <w:p w14:paraId="1808039A">
      <w:pPr>
        <w:jc w:val="both"/>
        <w:rPr>
          <w:rFonts w:hint="default"/>
          <w:lang w:val="en-US"/>
        </w:rPr>
      </w:pPr>
    </w:p>
    <w:p w14:paraId="44037326">
      <w:pPr>
        <w:pStyle w:val="2"/>
      </w:pPr>
      <w:r>
        <w:t>Budget</w:t>
      </w:r>
    </w:p>
    <w:p w14:paraId="532BD848">
      <w:pPr>
        <w:keepNext w:val="0"/>
        <w:keepLines w:val="0"/>
        <w:widowControl/>
        <w:suppressLineNumbers w:val="0"/>
        <w:jc w:val="left"/>
        <w:rPr>
          <w:rFonts w:hint="default" w:asciiTheme="minorAscii" w:hAnsiTheme="minorAscii"/>
          <w:sz w:val="24"/>
          <w:szCs w:val="24"/>
        </w:rPr>
      </w:pPr>
      <w:r>
        <w:rPr>
          <w:rFonts w:hint="default" w:eastAsia="-webkit-standard" w:cs="-webkit-standard" w:asciiTheme="minorAscii" w:hAnsiTheme="minorAscii"/>
          <w:i w:val="0"/>
          <w:iCs w:val="0"/>
          <w:caps w:val="0"/>
          <w:color w:val="000000"/>
          <w:spacing w:val="0"/>
          <w:kern w:val="0"/>
          <w:sz w:val="24"/>
          <w:szCs w:val="24"/>
          <w:u w:val="none"/>
          <w:lang w:val="en-US" w:eastAsia="zh-CN" w:bidi="ar"/>
          <w14:ligatures w14:val="standardContextual"/>
        </w:rPr>
        <w:t>A thorough financial breakdown for the Heart Health Promotion Program's execution is provided below:</w:t>
      </w:r>
    </w:p>
    <w:p w14:paraId="1A936E51"/>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029F4687">
        <w:tc>
          <w:tcPr>
            <w:tcW w:w="2254" w:type="dxa"/>
            <w:shd w:val="clear" w:color="auto" w:fill="C1F0C8" w:themeFill="accent3" w:themeFillTint="33"/>
            <w:vAlign w:val="center"/>
          </w:tcPr>
          <w:p w14:paraId="13CDB377">
            <w:pPr>
              <w:spacing w:after="0" w:line="240" w:lineRule="auto"/>
              <w:rPr>
                <w:b/>
                <w:bCs/>
              </w:rPr>
            </w:pPr>
            <w:r>
              <w:rPr>
                <w:b/>
                <w:bCs/>
              </w:rPr>
              <w:t>Item</w:t>
            </w:r>
          </w:p>
        </w:tc>
        <w:tc>
          <w:tcPr>
            <w:tcW w:w="2254" w:type="dxa"/>
            <w:shd w:val="clear" w:color="auto" w:fill="C1F0C8" w:themeFill="accent3" w:themeFillTint="33"/>
            <w:vAlign w:val="center"/>
          </w:tcPr>
          <w:p w14:paraId="556AA309">
            <w:pPr>
              <w:spacing w:after="0" w:line="240" w:lineRule="auto"/>
              <w:rPr>
                <w:b/>
                <w:bCs/>
              </w:rPr>
            </w:pPr>
            <w:r>
              <w:rPr>
                <w:b/>
                <w:bCs/>
              </w:rPr>
              <w:t>Cash Requested</w:t>
            </w:r>
          </w:p>
        </w:tc>
        <w:tc>
          <w:tcPr>
            <w:tcW w:w="2254" w:type="dxa"/>
            <w:shd w:val="clear" w:color="auto" w:fill="C1F0C8" w:themeFill="accent3" w:themeFillTint="33"/>
            <w:vAlign w:val="center"/>
          </w:tcPr>
          <w:p w14:paraId="76FD830F">
            <w:pPr>
              <w:spacing w:after="0" w:line="240" w:lineRule="auto"/>
              <w:rPr>
                <w:b/>
                <w:bCs/>
              </w:rPr>
            </w:pPr>
            <w:r>
              <w:rPr>
                <w:b/>
                <w:bCs/>
              </w:rPr>
              <w:t>In-Kind (Stakeholders)</w:t>
            </w:r>
          </w:p>
        </w:tc>
        <w:tc>
          <w:tcPr>
            <w:tcW w:w="2254" w:type="dxa"/>
            <w:shd w:val="clear" w:color="auto" w:fill="DAE9F7" w:themeFill="text2" w:themeFillTint="1A"/>
            <w:vAlign w:val="center"/>
          </w:tcPr>
          <w:p w14:paraId="7699BAC6">
            <w:pPr>
              <w:spacing w:after="0" w:line="240" w:lineRule="auto"/>
              <w:rPr>
                <w:b/>
                <w:bCs/>
              </w:rPr>
            </w:pPr>
            <w:r>
              <w:rPr>
                <w:b/>
                <w:bCs/>
              </w:rPr>
              <w:t>Total</w:t>
            </w:r>
          </w:p>
        </w:tc>
      </w:tr>
      <w:tr w14:paraId="0B548BE2">
        <w:trPr>
          <w:trHeight w:val="703" w:hRule="atLeast"/>
        </w:trPr>
        <w:tc>
          <w:tcPr>
            <w:tcW w:w="2254" w:type="dxa"/>
            <w:shd w:val="clear" w:color="auto" w:fill="F1F1F1" w:themeFill="background1" w:themeFillShade="F2"/>
            <w:vAlign w:val="center"/>
          </w:tcPr>
          <w:p w14:paraId="3361619D">
            <w:pPr>
              <w:spacing w:after="0" w:line="240" w:lineRule="auto"/>
              <w:rPr>
                <w:rFonts w:hint="default"/>
                <w:lang w:val="en-US"/>
              </w:rPr>
            </w:pPr>
            <w:r>
              <w:rPr>
                <w:rFonts w:hint="default"/>
                <w:lang w:val="en-US"/>
              </w:rPr>
              <w:t>Venue Hire (2 Hours X $100 per Hour)</w:t>
            </w:r>
          </w:p>
        </w:tc>
        <w:tc>
          <w:tcPr>
            <w:tcW w:w="2254" w:type="dxa"/>
            <w:shd w:val="clear" w:color="auto" w:fill="F1F1F1" w:themeFill="background1" w:themeFillShade="F2"/>
            <w:vAlign w:val="center"/>
          </w:tcPr>
          <w:p w14:paraId="39EAA332">
            <w:pPr>
              <w:spacing w:after="0" w:line="240" w:lineRule="auto"/>
              <w:rPr>
                <w:rFonts w:hint="default"/>
                <w:lang w:val="en-US"/>
              </w:rPr>
            </w:pPr>
            <w:r>
              <w:rPr>
                <w:rFonts w:hint="default"/>
                <w:lang w:val="en-US"/>
              </w:rPr>
              <w:t>$200</w:t>
            </w:r>
          </w:p>
        </w:tc>
        <w:tc>
          <w:tcPr>
            <w:tcW w:w="2254" w:type="dxa"/>
            <w:shd w:val="clear" w:color="auto" w:fill="F1F1F1" w:themeFill="background1" w:themeFillShade="F2"/>
            <w:vAlign w:val="center"/>
          </w:tcPr>
          <w:p w14:paraId="798399DD">
            <w:pPr>
              <w:spacing w:after="0" w:line="240" w:lineRule="auto"/>
              <w:rPr>
                <w:rFonts w:hint="default"/>
                <w:lang w:val="en-US"/>
              </w:rPr>
            </w:pPr>
            <w:r>
              <w:rPr>
                <w:rFonts w:hint="default"/>
                <w:lang w:val="en-US"/>
              </w:rPr>
              <w:t>$0</w:t>
            </w:r>
          </w:p>
        </w:tc>
        <w:tc>
          <w:tcPr>
            <w:tcW w:w="2254" w:type="dxa"/>
            <w:shd w:val="clear" w:color="auto" w:fill="DAE9F7" w:themeFill="text2" w:themeFillTint="1A"/>
            <w:vAlign w:val="center"/>
          </w:tcPr>
          <w:p w14:paraId="48B2B848">
            <w:pPr>
              <w:spacing w:after="0" w:line="240" w:lineRule="auto"/>
              <w:rPr>
                <w:rFonts w:hint="default"/>
                <w:lang w:val="en-US"/>
              </w:rPr>
            </w:pPr>
            <w:r>
              <w:rPr>
                <w:rFonts w:hint="default"/>
                <w:lang w:val="en-US"/>
              </w:rPr>
              <w:t>$200</w:t>
            </w:r>
          </w:p>
        </w:tc>
      </w:tr>
      <w:tr w14:paraId="60A36C51">
        <w:trPr>
          <w:trHeight w:val="1698" w:hRule="atLeast"/>
        </w:trPr>
        <w:tc>
          <w:tcPr>
            <w:tcW w:w="2254" w:type="dxa"/>
            <w:shd w:val="clear" w:color="auto" w:fill="F1F1F1" w:themeFill="background1" w:themeFillShade="F2"/>
            <w:vAlign w:val="center"/>
          </w:tcPr>
          <w:p w14:paraId="45871BE4">
            <w:pPr>
              <w:spacing w:after="0" w:line="240" w:lineRule="auto"/>
              <w:rPr>
                <w:rFonts w:hint="default"/>
                <w:lang w:val="en-US"/>
              </w:rPr>
            </w:pPr>
            <w:r>
              <w:rPr>
                <w:rFonts w:hint="default"/>
                <w:lang w:val="en-US"/>
              </w:rPr>
              <w:t>Dietitians (3 Personnels X $50 per hour for 4 hours/ week) [Calculated for 10 weeks]</w:t>
            </w:r>
          </w:p>
        </w:tc>
        <w:tc>
          <w:tcPr>
            <w:tcW w:w="2254" w:type="dxa"/>
            <w:shd w:val="clear" w:color="auto" w:fill="F1F1F1" w:themeFill="background1" w:themeFillShade="F2"/>
            <w:vAlign w:val="center"/>
          </w:tcPr>
          <w:p w14:paraId="6B45DBE8">
            <w:pPr>
              <w:spacing w:after="0" w:line="240" w:lineRule="auto"/>
              <w:rPr>
                <w:rFonts w:hint="default"/>
                <w:lang w:val="en-US"/>
              </w:rPr>
            </w:pPr>
            <w:r>
              <w:rPr>
                <w:rFonts w:hint="default"/>
                <w:lang w:val="en-US"/>
              </w:rPr>
              <w:t>$6000</w:t>
            </w:r>
          </w:p>
        </w:tc>
        <w:tc>
          <w:tcPr>
            <w:tcW w:w="2254" w:type="dxa"/>
            <w:shd w:val="clear" w:color="auto" w:fill="F1F1F1" w:themeFill="background1" w:themeFillShade="F2"/>
            <w:vAlign w:val="center"/>
          </w:tcPr>
          <w:p w14:paraId="72124A90">
            <w:pPr>
              <w:spacing w:after="0" w:line="240" w:lineRule="auto"/>
              <w:rPr>
                <w:rFonts w:hint="default"/>
                <w:lang w:val="en-US"/>
              </w:rPr>
            </w:pPr>
            <w:r>
              <w:rPr>
                <w:rFonts w:hint="default"/>
                <w:lang w:val="en-US"/>
              </w:rPr>
              <w:t>$1200</w:t>
            </w:r>
          </w:p>
        </w:tc>
        <w:tc>
          <w:tcPr>
            <w:tcW w:w="2254" w:type="dxa"/>
            <w:shd w:val="clear" w:color="auto" w:fill="DAE9F7" w:themeFill="text2" w:themeFillTint="1A"/>
            <w:vAlign w:val="center"/>
          </w:tcPr>
          <w:p w14:paraId="42C37D1C">
            <w:pPr>
              <w:spacing w:after="0" w:line="240" w:lineRule="auto"/>
              <w:rPr>
                <w:rFonts w:hint="default"/>
                <w:lang w:val="en-US"/>
              </w:rPr>
            </w:pPr>
            <w:r>
              <w:rPr>
                <w:rFonts w:hint="default"/>
                <w:lang w:val="en-US"/>
              </w:rPr>
              <w:t>$7200</w:t>
            </w:r>
          </w:p>
        </w:tc>
      </w:tr>
      <w:tr w14:paraId="49979586">
        <w:trPr>
          <w:trHeight w:val="1422" w:hRule="atLeast"/>
        </w:trPr>
        <w:tc>
          <w:tcPr>
            <w:tcW w:w="2254" w:type="dxa"/>
            <w:vAlign w:val="center"/>
          </w:tcPr>
          <w:p w14:paraId="787F54C3">
            <w:pPr>
              <w:spacing w:after="0" w:line="240" w:lineRule="auto"/>
              <w:rPr>
                <w:rFonts w:hint="default"/>
                <w:lang w:val="en-US"/>
              </w:rPr>
            </w:pPr>
            <w:r>
              <w:rPr>
                <w:rFonts w:hint="default"/>
                <w:lang w:val="en-US"/>
              </w:rPr>
              <w:t>Marketing (Social Media Advertising $1000 per month) [For 12 months]</w:t>
            </w:r>
          </w:p>
        </w:tc>
        <w:tc>
          <w:tcPr>
            <w:tcW w:w="2254" w:type="dxa"/>
            <w:vAlign w:val="center"/>
          </w:tcPr>
          <w:p w14:paraId="47E3A7EA">
            <w:pPr>
              <w:spacing w:after="0" w:line="240" w:lineRule="auto"/>
              <w:rPr>
                <w:rFonts w:hint="default"/>
                <w:lang w:val="en-US"/>
              </w:rPr>
            </w:pPr>
            <w:r>
              <w:rPr>
                <w:rFonts w:hint="default"/>
                <w:lang w:val="en-US"/>
              </w:rPr>
              <w:t>$12,000</w:t>
            </w:r>
          </w:p>
        </w:tc>
        <w:tc>
          <w:tcPr>
            <w:tcW w:w="2254" w:type="dxa"/>
            <w:vAlign w:val="center"/>
          </w:tcPr>
          <w:p w14:paraId="03AD8537">
            <w:pPr>
              <w:spacing w:after="0" w:line="240" w:lineRule="auto"/>
              <w:rPr>
                <w:rFonts w:hint="default"/>
                <w:lang w:val="en-US"/>
              </w:rPr>
            </w:pPr>
            <w:r>
              <w:rPr>
                <w:rFonts w:hint="default"/>
                <w:lang w:val="en-US"/>
              </w:rPr>
              <w:t>$0</w:t>
            </w:r>
          </w:p>
        </w:tc>
        <w:tc>
          <w:tcPr>
            <w:tcW w:w="2254" w:type="dxa"/>
            <w:shd w:val="clear" w:color="auto" w:fill="DAE9F7" w:themeFill="text2" w:themeFillTint="1A"/>
            <w:vAlign w:val="center"/>
          </w:tcPr>
          <w:p w14:paraId="32DC5437">
            <w:pPr>
              <w:spacing w:after="0" w:line="240" w:lineRule="auto"/>
              <w:rPr>
                <w:rFonts w:hint="default"/>
                <w:lang w:val="en-US"/>
              </w:rPr>
            </w:pPr>
            <w:r>
              <w:rPr>
                <w:rFonts w:hint="default"/>
                <w:lang w:val="en-US"/>
              </w:rPr>
              <w:t>$12,000</w:t>
            </w:r>
          </w:p>
        </w:tc>
      </w:tr>
      <w:tr w14:paraId="4E537A47">
        <w:trPr>
          <w:trHeight w:val="1088" w:hRule="atLeast"/>
        </w:trPr>
        <w:tc>
          <w:tcPr>
            <w:tcW w:w="2254" w:type="dxa"/>
            <w:vAlign w:val="center"/>
          </w:tcPr>
          <w:p w14:paraId="575023D3">
            <w:pPr>
              <w:spacing w:after="0" w:line="240" w:lineRule="auto"/>
              <w:rPr>
                <w:rFonts w:hint="default"/>
                <w:lang w:val="en-US"/>
              </w:rPr>
            </w:pPr>
            <w:r>
              <w:rPr>
                <w:rFonts w:hint="default"/>
                <w:lang w:val="en-US"/>
              </w:rPr>
              <w:t>Billboards (2 X $800 per month) [For 6 months]</w:t>
            </w:r>
          </w:p>
        </w:tc>
        <w:tc>
          <w:tcPr>
            <w:tcW w:w="2254" w:type="dxa"/>
            <w:vAlign w:val="center"/>
          </w:tcPr>
          <w:p w14:paraId="387B2FF1">
            <w:pPr>
              <w:spacing w:after="0" w:line="240" w:lineRule="auto"/>
              <w:rPr>
                <w:rFonts w:hint="default"/>
                <w:lang w:val="en-US"/>
              </w:rPr>
            </w:pPr>
            <w:r>
              <w:rPr>
                <w:rFonts w:hint="default"/>
                <w:lang w:val="en-US"/>
              </w:rPr>
              <w:t>$9600</w:t>
            </w:r>
          </w:p>
        </w:tc>
        <w:tc>
          <w:tcPr>
            <w:tcW w:w="2254" w:type="dxa"/>
            <w:vAlign w:val="center"/>
          </w:tcPr>
          <w:p w14:paraId="68EB05AB">
            <w:pPr>
              <w:spacing w:after="0" w:line="240" w:lineRule="auto"/>
              <w:rPr>
                <w:rFonts w:hint="default"/>
                <w:lang w:val="en-US"/>
              </w:rPr>
            </w:pPr>
            <w:r>
              <w:rPr>
                <w:rFonts w:hint="default"/>
                <w:lang w:val="en-US"/>
              </w:rPr>
              <w:t>$0</w:t>
            </w:r>
          </w:p>
        </w:tc>
        <w:tc>
          <w:tcPr>
            <w:tcW w:w="2254" w:type="dxa"/>
            <w:shd w:val="clear" w:color="auto" w:fill="DAE9F7" w:themeFill="text2" w:themeFillTint="1A"/>
            <w:vAlign w:val="center"/>
          </w:tcPr>
          <w:p w14:paraId="1B455826">
            <w:pPr>
              <w:spacing w:after="0" w:line="240" w:lineRule="auto"/>
              <w:rPr>
                <w:rFonts w:hint="default"/>
                <w:lang w:val="en-US"/>
              </w:rPr>
            </w:pPr>
            <w:r>
              <w:rPr>
                <w:rFonts w:hint="default"/>
                <w:lang w:val="en-US"/>
              </w:rPr>
              <w:t>$9600</w:t>
            </w:r>
          </w:p>
        </w:tc>
      </w:tr>
      <w:tr w14:paraId="3A915574">
        <w:trPr>
          <w:trHeight w:val="1089" w:hRule="atLeast"/>
        </w:trPr>
        <w:tc>
          <w:tcPr>
            <w:tcW w:w="2254" w:type="dxa"/>
            <w:vAlign w:val="center"/>
          </w:tcPr>
          <w:p w14:paraId="7386D2C7">
            <w:pPr>
              <w:spacing w:after="0" w:line="240" w:lineRule="auto"/>
              <w:rPr>
                <w:rFonts w:hint="default"/>
                <w:lang w:val="en-US"/>
              </w:rPr>
            </w:pPr>
            <w:r>
              <w:rPr>
                <w:rFonts w:hint="default"/>
                <w:lang w:val="en-US"/>
              </w:rPr>
              <w:t>Program Resources (Educational Materials)</w:t>
            </w:r>
          </w:p>
        </w:tc>
        <w:tc>
          <w:tcPr>
            <w:tcW w:w="2254" w:type="dxa"/>
            <w:vAlign w:val="center"/>
          </w:tcPr>
          <w:p w14:paraId="16510618">
            <w:pPr>
              <w:spacing w:after="0" w:line="240" w:lineRule="auto"/>
              <w:rPr>
                <w:rFonts w:hint="default"/>
                <w:lang w:val="en-US"/>
              </w:rPr>
            </w:pPr>
            <w:r>
              <w:rPr>
                <w:rFonts w:hint="default"/>
                <w:lang w:val="en-US"/>
              </w:rPr>
              <w:t>$1500</w:t>
            </w:r>
          </w:p>
        </w:tc>
        <w:tc>
          <w:tcPr>
            <w:tcW w:w="2254" w:type="dxa"/>
            <w:vAlign w:val="center"/>
          </w:tcPr>
          <w:p w14:paraId="3D638C7A">
            <w:pPr>
              <w:spacing w:after="0" w:line="240" w:lineRule="auto"/>
              <w:rPr>
                <w:rFonts w:hint="default"/>
                <w:lang w:val="en-US"/>
              </w:rPr>
            </w:pPr>
            <w:r>
              <w:rPr>
                <w:rFonts w:hint="default"/>
                <w:lang w:val="en-US"/>
              </w:rPr>
              <w:t xml:space="preserve">$0 </w:t>
            </w:r>
          </w:p>
        </w:tc>
        <w:tc>
          <w:tcPr>
            <w:tcW w:w="2254" w:type="dxa"/>
            <w:shd w:val="clear" w:color="auto" w:fill="DAE9F7" w:themeFill="text2" w:themeFillTint="1A"/>
            <w:vAlign w:val="center"/>
          </w:tcPr>
          <w:p w14:paraId="2F110248">
            <w:pPr>
              <w:spacing w:after="0" w:line="240" w:lineRule="auto"/>
              <w:rPr>
                <w:rFonts w:hint="default"/>
                <w:lang w:val="en-US"/>
              </w:rPr>
            </w:pPr>
            <w:r>
              <w:rPr>
                <w:rFonts w:hint="default"/>
                <w:lang w:val="en-US"/>
              </w:rPr>
              <w:t>$1500</w:t>
            </w:r>
          </w:p>
        </w:tc>
      </w:tr>
      <w:tr w14:paraId="2A05DCA3">
        <w:trPr>
          <w:trHeight w:val="1117" w:hRule="atLeast"/>
        </w:trPr>
        <w:tc>
          <w:tcPr>
            <w:tcW w:w="2254" w:type="dxa"/>
            <w:vAlign w:val="center"/>
          </w:tcPr>
          <w:p w14:paraId="7488200C">
            <w:pPr>
              <w:spacing w:after="0" w:line="240" w:lineRule="auto"/>
              <w:rPr>
                <w:rFonts w:hint="default"/>
                <w:lang w:val="en-US"/>
              </w:rPr>
            </w:pPr>
            <w:r>
              <w:rPr>
                <w:rFonts w:hint="default"/>
                <w:lang w:val="en-US"/>
              </w:rPr>
              <w:t>Interview Transcription and Gifts (10 interviews)</w:t>
            </w:r>
          </w:p>
        </w:tc>
        <w:tc>
          <w:tcPr>
            <w:tcW w:w="2254" w:type="dxa"/>
            <w:vAlign w:val="center"/>
          </w:tcPr>
          <w:p w14:paraId="2542758E">
            <w:pPr>
              <w:spacing w:after="0" w:line="240" w:lineRule="auto"/>
              <w:rPr>
                <w:rFonts w:hint="default"/>
                <w:lang w:val="en-US"/>
              </w:rPr>
            </w:pPr>
            <w:r>
              <w:rPr>
                <w:rFonts w:hint="default"/>
                <w:lang w:val="en-US"/>
              </w:rPr>
              <w:t>$1250</w:t>
            </w:r>
          </w:p>
        </w:tc>
        <w:tc>
          <w:tcPr>
            <w:tcW w:w="2254" w:type="dxa"/>
            <w:vAlign w:val="center"/>
          </w:tcPr>
          <w:p w14:paraId="01A4928B">
            <w:pPr>
              <w:spacing w:after="0" w:line="240" w:lineRule="auto"/>
              <w:rPr>
                <w:rFonts w:hint="default"/>
                <w:lang w:val="en-US"/>
              </w:rPr>
            </w:pPr>
            <w:r>
              <w:rPr>
                <w:rFonts w:hint="default"/>
                <w:lang w:val="en-US"/>
              </w:rPr>
              <w:t>$0</w:t>
            </w:r>
          </w:p>
        </w:tc>
        <w:tc>
          <w:tcPr>
            <w:tcW w:w="2254" w:type="dxa"/>
            <w:shd w:val="clear" w:color="auto" w:fill="DAE9F7" w:themeFill="text2" w:themeFillTint="1A"/>
            <w:vAlign w:val="center"/>
          </w:tcPr>
          <w:p w14:paraId="21969CB0">
            <w:pPr>
              <w:spacing w:after="0" w:line="240" w:lineRule="auto"/>
              <w:rPr>
                <w:rFonts w:hint="default"/>
                <w:lang w:val="en-US"/>
              </w:rPr>
            </w:pPr>
            <w:r>
              <w:rPr>
                <w:rFonts w:hint="default"/>
                <w:lang w:val="en-US"/>
              </w:rPr>
              <w:t>$1250</w:t>
            </w:r>
          </w:p>
        </w:tc>
      </w:tr>
      <w:tr w14:paraId="7DAA47BB">
        <w:trPr>
          <w:trHeight w:val="1308" w:hRule="atLeast"/>
        </w:trPr>
        <w:tc>
          <w:tcPr>
            <w:tcW w:w="2254" w:type="dxa"/>
            <w:shd w:val="clear" w:color="auto" w:fill="auto"/>
            <w:vAlign w:val="center"/>
          </w:tcPr>
          <w:p w14:paraId="3DEE303F">
            <w:pPr>
              <w:spacing w:after="0" w:line="240" w:lineRule="auto"/>
              <w:jc w:val="left"/>
              <w:rPr>
                <w:rFonts w:hint="default"/>
                <w:b w:val="0"/>
                <w:bCs w:val="0"/>
                <w:lang w:val="en-US"/>
              </w:rPr>
            </w:pPr>
            <w:r>
              <w:rPr>
                <w:rFonts w:hint="default"/>
                <w:b w:val="0"/>
                <w:bCs w:val="0"/>
                <w:lang w:val="en-US"/>
              </w:rPr>
              <w:t>Focus Group Transcription and Gifts (1 Focus Group)</w:t>
            </w:r>
          </w:p>
        </w:tc>
        <w:tc>
          <w:tcPr>
            <w:tcW w:w="2254" w:type="dxa"/>
            <w:shd w:val="clear" w:color="auto" w:fill="auto"/>
            <w:vAlign w:val="center"/>
          </w:tcPr>
          <w:p w14:paraId="75BDA69B">
            <w:pPr>
              <w:spacing w:after="0" w:line="240" w:lineRule="auto"/>
              <w:rPr>
                <w:rFonts w:hint="default"/>
                <w:b w:val="0"/>
                <w:bCs w:val="0"/>
                <w:lang w:val="en-US"/>
              </w:rPr>
            </w:pPr>
            <w:r>
              <w:rPr>
                <w:rFonts w:hint="default"/>
                <w:b w:val="0"/>
                <w:bCs w:val="0"/>
                <w:lang w:val="en-US"/>
              </w:rPr>
              <w:t>$600</w:t>
            </w:r>
          </w:p>
        </w:tc>
        <w:tc>
          <w:tcPr>
            <w:tcW w:w="2254" w:type="dxa"/>
            <w:shd w:val="clear" w:color="auto" w:fill="auto"/>
            <w:vAlign w:val="center"/>
          </w:tcPr>
          <w:p w14:paraId="07AD7602">
            <w:pPr>
              <w:spacing w:after="0" w:line="240" w:lineRule="auto"/>
              <w:rPr>
                <w:rFonts w:hint="default"/>
                <w:b w:val="0"/>
                <w:bCs w:val="0"/>
                <w:lang w:val="en-US"/>
              </w:rPr>
            </w:pPr>
            <w:r>
              <w:rPr>
                <w:rFonts w:hint="default"/>
                <w:b w:val="0"/>
                <w:bCs w:val="0"/>
                <w:lang w:val="en-US"/>
              </w:rPr>
              <w:t>$0</w:t>
            </w:r>
          </w:p>
        </w:tc>
        <w:tc>
          <w:tcPr>
            <w:tcW w:w="2254" w:type="dxa"/>
            <w:shd w:val="clear" w:color="auto" w:fill="DAE9F7" w:themeFill="text2" w:themeFillTint="1A"/>
            <w:vAlign w:val="center"/>
          </w:tcPr>
          <w:p w14:paraId="2494DB35">
            <w:pPr>
              <w:spacing w:after="0" w:line="240" w:lineRule="auto"/>
              <w:rPr>
                <w:rFonts w:hint="default"/>
                <w:b w:val="0"/>
                <w:bCs w:val="0"/>
                <w:lang w:val="en-US"/>
              </w:rPr>
            </w:pPr>
            <w:r>
              <w:rPr>
                <w:rFonts w:hint="default"/>
                <w:b w:val="0"/>
                <w:bCs w:val="0"/>
                <w:lang w:val="en-US"/>
              </w:rPr>
              <w:t>$600</w:t>
            </w:r>
          </w:p>
        </w:tc>
      </w:tr>
      <w:tr w14:paraId="72CD83B1">
        <w:trPr>
          <w:trHeight w:val="1131" w:hRule="atLeast"/>
        </w:trPr>
        <w:tc>
          <w:tcPr>
            <w:tcW w:w="2254" w:type="dxa"/>
            <w:shd w:val="clear" w:color="auto" w:fill="auto"/>
            <w:vAlign w:val="center"/>
          </w:tcPr>
          <w:p w14:paraId="72CEEDB0">
            <w:pPr>
              <w:spacing w:after="0" w:line="240" w:lineRule="auto"/>
              <w:jc w:val="left"/>
              <w:rPr>
                <w:rFonts w:hint="default"/>
                <w:b w:val="0"/>
                <w:bCs w:val="0"/>
                <w:lang w:val="en-US"/>
              </w:rPr>
            </w:pPr>
            <w:r>
              <w:rPr>
                <w:rFonts w:hint="default"/>
                <w:b w:val="0"/>
                <w:bCs w:val="0"/>
                <w:lang w:val="en-US"/>
              </w:rPr>
              <w:t>Survey ($1.50 Per response; 100 responses)</w:t>
            </w:r>
          </w:p>
        </w:tc>
        <w:tc>
          <w:tcPr>
            <w:tcW w:w="2254" w:type="dxa"/>
            <w:shd w:val="clear" w:color="auto" w:fill="auto"/>
            <w:vAlign w:val="center"/>
          </w:tcPr>
          <w:p w14:paraId="2833C5AB">
            <w:pPr>
              <w:spacing w:after="0" w:line="240" w:lineRule="auto"/>
              <w:rPr>
                <w:rFonts w:hint="default"/>
                <w:b w:val="0"/>
                <w:bCs w:val="0"/>
                <w:lang w:val="en-US"/>
              </w:rPr>
            </w:pPr>
            <w:r>
              <w:rPr>
                <w:rFonts w:hint="default"/>
                <w:b w:val="0"/>
                <w:bCs w:val="0"/>
                <w:lang w:val="en-US"/>
              </w:rPr>
              <w:t>$150</w:t>
            </w:r>
          </w:p>
        </w:tc>
        <w:tc>
          <w:tcPr>
            <w:tcW w:w="2254" w:type="dxa"/>
            <w:shd w:val="clear" w:color="auto" w:fill="auto"/>
            <w:vAlign w:val="center"/>
          </w:tcPr>
          <w:p w14:paraId="3706E7ED">
            <w:pPr>
              <w:spacing w:after="0" w:line="240" w:lineRule="auto"/>
              <w:rPr>
                <w:rFonts w:hint="default"/>
                <w:b w:val="0"/>
                <w:bCs w:val="0"/>
                <w:lang w:val="en-US"/>
              </w:rPr>
            </w:pPr>
            <w:r>
              <w:rPr>
                <w:rFonts w:hint="default"/>
                <w:b w:val="0"/>
                <w:bCs w:val="0"/>
                <w:lang w:val="en-US"/>
              </w:rPr>
              <w:t>$0</w:t>
            </w:r>
          </w:p>
        </w:tc>
        <w:tc>
          <w:tcPr>
            <w:tcW w:w="2254" w:type="dxa"/>
            <w:shd w:val="clear" w:color="auto" w:fill="DAE9F7" w:themeFill="text2" w:themeFillTint="1A"/>
            <w:vAlign w:val="center"/>
          </w:tcPr>
          <w:p w14:paraId="18B4EBC7">
            <w:pPr>
              <w:spacing w:after="0" w:line="240" w:lineRule="auto"/>
              <w:rPr>
                <w:rFonts w:hint="default"/>
                <w:b w:val="0"/>
                <w:bCs w:val="0"/>
                <w:lang w:val="en-US"/>
              </w:rPr>
            </w:pPr>
            <w:r>
              <w:rPr>
                <w:rFonts w:hint="default"/>
                <w:b w:val="0"/>
                <w:bCs w:val="0"/>
                <w:lang w:val="en-US"/>
              </w:rPr>
              <w:t>$150</w:t>
            </w:r>
          </w:p>
        </w:tc>
      </w:tr>
      <w:tr w14:paraId="322D6745">
        <w:trPr>
          <w:trHeight w:val="1569" w:hRule="atLeast"/>
        </w:trPr>
        <w:tc>
          <w:tcPr>
            <w:tcW w:w="2254" w:type="dxa"/>
            <w:shd w:val="clear" w:color="auto" w:fill="auto"/>
            <w:vAlign w:val="center"/>
          </w:tcPr>
          <w:p w14:paraId="2D640733">
            <w:pPr>
              <w:spacing w:after="0" w:line="240" w:lineRule="auto"/>
              <w:jc w:val="left"/>
              <w:rPr>
                <w:rFonts w:hint="default"/>
                <w:b w:val="0"/>
                <w:bCs w:val="0"/>
                <w:lang w:val="en-US"/>
              </w:rPr>
            </w:pPr>
            <w:r>
              <w:rPr>
                <w:rFonts w:hint="default"/>
                <w:b w:val="0"/>
                <w:bCs w:val="0"/>
                <w:lang w:val="en-US"/>
              </w:rPr>
              <w:t>Miscellaneous (e.g. Travel Allowence, Accommodation, Insurance, Fuel for the program)</w:t>
            </w:r>
          </w:p>
        </w:tc>
        <w:tc>
          <w:tcPr>
            <w:tcW w:w="2254" w:type="dxa"/>
            <w:shd w:val="clear" w:color="auto" w:fill="auto"/>
            <w:vAlign w:val="center"/>
          </w:tcPr>
          <w:p w14:paraId="66822CA5">
            <w:pPr>
              <w:spacing w:after="0" w:line="240" w:lineRule="auto"/>
              <w:rPr>
                <w:rFonts w:hint="default"/>
                <w:b w:val="0"/>
                <w:bCs w:val="0"/>
                <w:lang w:val="en-US"/>
              </w:rPr>
            </w:pPr>
            <w:r>
              <w:rPr>
                <w:rFonts w:hint="default"/>
                <w:b w:val="0"/>
                <w:bCs w:val="0"/>
                <w:lang w:val="en-US"/>
              </w:rPr>
              <w:t>$5000</w:t>
            </w:r>
          </w:p>
        </w:tc>
        <w:tc>
          <w:tcPr>
            <w:tcW w:w="2254" w:type="dxa"/>
            <w:shd w:val="clear" w:color="auto" w:fill="auto"/>
            <w:vAlign w:val="center"/>
          </w:tcPr>
          <w:p w14:paraId="36CA4002">
            <w:pPr>
              <w:spacing w:after="0" w:line="240" w:lineRule="auto"/>
              <w:rPr>
                <w:rFonts w:hint="default"/>
                <w:b w:val="0"/>
                <w:bCs w:val="0"/>
                <w:lang w:val="en-US"/>
              </w:rPr>
            </w:pPr>
            <w:r>
              <w:rPr>
                <w:rFonts w:hint="default"/>
                <w:b w:val="0"/>
                <w:bCs w:val="0"/>
                <w:lang w:val="en-US"/>
              </w:rPr>
              <w:t>$0</w:t>
            </w:r>
          </w:p>
        </w:tc>
        <w:tc>
          <w:tcPr>
            <w:tcW w:w="2254" w:type="dxa"/>
            <w:shd w:val="clear" w:color="auto" w:fill="DAE9F7" w:themeFill="text2" w:themeFillTint="1A"/>
            <w:vAlign w:val="center"/>
          </w:tcPr>
          <w:p w14:paraId="3406EAFF">
            <w:pPr>
              <w:spacing w:after="0" w:line="240" w:lineRule="auto"/>
              <w:rPr>
                <w:rFonts w:hint="default"/>
                <w:b w:val="0"/>
                <w:bCs w:val="0"/>
                <w:lang w:val="en-US"/>
              </w:rPr>
            </w:pPr>
            <w:r>
              <w:rPr>
                <w:rFonts w:hint="default"/>
                <w:b w:val="0"/>
                <w:bCs w:val="0"/>
                <w:lang w:val="en-US"/>
              </w:rPr>
              <w:t>$5000</w:t>
            </w:r>
          </w:p>
        </w:tc>
      </w:tr>
      <w:tr w14:paraId="003B34C2">
        <w:tc>
          <w:tcPr>
            <w:tcW w:w="2254" w:type="dxa"/>
            <w:shd w:val="clear" w:color="auto" w:fill="C1F0C8" w:themeFill="accent3" w:themeFillTint="33"/>
            <w:vAlign w:val="center"/>
          </w:tcPr>
          <w:p w14:paraId="29F4E9B0">
            <w:pPr>
              <w:spacing w:after="0" w:line="240" w:lineRule="auto"/>
              <w:jc w:val="left"/>
              <w:rPr>
                <w:rFonts w:hint="default"/>
                <w:b/>
                <w:bCs/>
                <w:lang w:val="en-US"/>
              </w:rPr>
            </w:pPr>
            <w:r>
              <w:rPr>
                <w:rFonts w:hint="default"/>
                <w:b/>
                <w:bCs/>
                <w:lang w:val="en-US"/>
              </w:rPr>
              <w:t>Total</w:t>
            </w:r>
          </w:p>
        </w:tc>
        <w:tc>
          <w:tcPr>
            <w:tcW w:w="2254" w:type="dxa"/>
            <w:shd w:val="clear" w:color="auto" w:fill="C1F0C8" w:themeFill="accent3" w:themeFillTint="33"/>
            <w:vAlign w:val="center"/>
          </w:tcPr>
          <w:p w14:paraId="16552C53">
            <w:pPr>
              <w:spacing w:after="0" w:line="240" w:lineRule="auto"/>
              <w:rPr>
                <w:rFonts w:hint="default"/>
                <w:b/>
                <w:bCs/>
                <w:lang w:val="en-US"/>
              </w:rPr>
            </w:pPr>
            <w:r>
              <w:rPr>
                <w:rFonts w:hint="default"/>
                <w:b/>
                <w:bCs/>
                <w:lang w:val="en-US"/>
              </w:rPr>
              <w:t>$36,300</w:t>
            </w:r>
          </w:p>
        </w:tc>
        <w:tc>
          <w:tcPr>
            <w:tcW w:w="2254" w:type="dxa"/>
            <w:shd w:val="clear" w:color="auto" w:fill="C1F0C8" w:themeFill="accent3" w:themeFillTint="33"/>
            <w:vAlign w:val="center"/>
          </w:tcPr>
          <w:p w14:paraId="7339251C">
            <w:pPr>
              <w:spacing w:after="0" w:line="240" w:lineRule="auto"/>
              <w:rPr>
                <w:rFonts w:hint="default"/>
                <w:b/>
                <w:bCs/>
                <w:lang w:val="en-US"/>
              </w:rPr>
            </w:pPr>
            <w:r>
              <w:rPr>
                <w:rFonts w:hint="default"/>
                <w:b/>
                <w:bCs/>
                <w:lang w:val="en-US"/>
              </w:rPr>
              <w:t>$1200</w:t>
            </w:r>
          </w:p>
        </w:tc>
        <w:tc>
          <w:tcPr>
            <w:tcW w:w="2254" w:type="dxa"/>
            <w:shd w:val="clear" w:color="auto" w:fill="DAE9F7" w:themeFill="text2" w:themeFillTint="1A"/>
            <w:vAlign w:val="center"/>
          </w:tcPr>
          <w:p w14:paraId="5D6C6B3D">
            <w:pPr>
              <w:spacing w:after="0" w:line="240" w:lineRule="auto"/>
              <w:rPr>
                <w:rFonts w:hint="default"/>
                <w:b/>
                <w:bCs/>
                <w:lang w:val="en-US"/>
              </w:rPr>
            </w:pPr>
            <w:r>
              <w:rPr>
                <w:rFonts w:hint="default"/>
                <w:b/>
                <w:bCs/>
                <w:lang w:val="en-US"/>
              </w:rPr>
              <w:t>$37,500</w:t>
            </w:r>
          </w:p>
        </w:tc>
      </w:tr>
    </w:tbl>
    <w:p w14:paraId="1550B4BE">
      <w:pPr>
        <w:jc w:val="both"/>
        <w:rPr>
          <w:rFonts w:hint="default"/>
        </w:rPr>
      </w:pPr>
    </w:p>
    <w:p w14:paraId="48907ED1">
      <w:pPr>
        <w:jc w:val="both"/>
        <w:rPr>
          <w:rFonts w:hint="default"/>
        </w:rPr>
      </w:pPr>
      <w:r>
        <w:rPr>
          <w:rFonts w:hint="default"/>
        </w:rPr>
        <w:t>The budget is a full description of what the financial approach will be to see the successful execution of the Heart Health Promotion Program. Cost discrepancies must be negotiated with the appropriate stakeholders to discuss possibilities of in-kind contributions.</w:t>
      </w:r>
    </w:p>
    <w:p w14:paraId="1DB57ABF">
      <w:pPr>
        <w:jc w:val="both"/>
        <w:rPr>
          <w:rFonts w:hint="default"/>
          <w:b/>
          <w:bCs/>
          <w:lang w:val="en-US"/>
        </w:rPr>
      </w:pPr>
    </w:p>
    <w:p w14:paraId="687C4940">
      <w:pPr>
        <w:jc w:val="both"/>
        <w:rPr>
          <w:rFonts w:hint="default" w:asciiTheme="majorAscii" w:hAnsiTheme="majorAscii"/>
          <w:b w:val="0"/>
          <w:bCs w:val="0"/>
          <w:color w:val="104862" w:themeColor="accent1" w:themeShade="BF"/>
          <w:sz w:val="40"/>
          <w:szCs w:val="40"/>
          <w:lang w:val="en-US"/>
        </w:rPr>
      </w:pPr>
      <w:r>
        <w:rPr>
          <w:rFonts w:hint="default" w:asciiTheme="majorAscii" w:hAnsiTheme="majorAscii"/>
          <w:b w:val="0"/>
          <w:bCs w:val="0"/>
          <w:color w:val="104862" w:themeColor="accent1" w:themeShade="BF"/>
          <w:sz w:val="40"/>
          <w:szCs w:val="40"/>
          <w:lang w:val="en-US"/>
        </w:rPr>
        <w:t>Finalize the Application</w:t>
      </w:r>
    </w:p>
    <w:p w14:paraId="520259F2">
      <w:pPr>
        <w:jc w:val="both"/>
        <w:rPr>
          <w:rFonts w:hint="default" w:asciiTheme="minorAscii" w:hAnsiTheme="minorAscii"/>
          <w:b w:val="0"/>
          <w:bCs w:val="0"/>
          <w:color w:val="auto"/>
          <w:sz w:val="24"/>
          <w:szCs w:val="24"/>
          <w:lang w:val="en-US"/>
        </w:rPr>
      </w:pPr>
      <w:r>
        <w:rPr>
          <w:rFonts w:hint="default" w:asciiTheme="minorAscii" w:hAnsiTheme="minorAscii"/>
          <w:b w:val="0"/>
          <w:bCs w:val="0"/>
          <w:color w:val="auto"/>
          <w:sz w:val="24"/>
          <w:szCs w:val="24"/>
          <w:lang w:val="en-US"/>
        </w:rPr>
        <w:t>This grant proposal application has been carefully revised to ensure consistency and clarity, meeting the standards required for submission. Edits have been made to align with each rubric criterion, resulting in a polished proposal.</w:t>
      </w:r>
    </w:p>
    <w:p w14:paraId="50DE03BA">
      <w:pPr>
        <w:jc w:val="both"/>
        <w:rPr>
          <w:rFonts w:hint="default" w:asciiTheme="minorAscii" w:hAnsiTheme="minorAscii"/>
          <w:b w:val="0"/>
          <w:bCs w:val="0"/>
          <w:color w:val="auto"/>
          <w:sz w:val="24"/>
          <w:szCs w:val="24"/>
          <w:lang w:val="en-US"/>
        </w:rPr>
      </w:pPr>
      <w:r>
        <w:rPr>
          <w:rFonts w:hint="default" w:asciiTheme="minorAscii" w:hAnsiTheme="minorAscii"/>
          <w:b w:val="0"/>
          <w:bCs w:val="0"/>
          <w:color w:val="auto"/>
          <w:sz w:val="24"/>
          <w:szCs w:val="24"/>
          <w:lang w:val="en-US"/>
        </w:rPr>
        <w:t>In essence, the proposed Heart Health Promotion Program addresses a critical public health challenge through culturally sensitive and targeted strategies tailored to our community's specific needs, thereby fulfilling the goals set by the Ian Potter Foundation. By incorporating input from stakeholders and local perspectives, the program enhances the likelihood of achieving sustainable, long-term outcomes, reducing disparities, and improving the overall well-being of our community.</w:t>
      </w:r>
    </w:p>
    <w:p w14:paraId="1EF4F093">
      <w:pPr>
        <w:jc w:val="both"/>
        <w:rPr>
          <w:rFonts w:hint="default" w:asciiTheme="minorAscii" w:hAnsiTheme="minorAscii"/>
          <w:b w:val="0"/>
          <w:bCs w:val="0"/>
          <w:color w:val="auto"/>
          <w:sz w:val="24"/>
          <w:szCs w:val="24"/>
          <w:lang w:val="en-US"/>
        </w:rPr>
      </w:pPr>
      <w:r>
        <w:rPr>
          <w:rFonts w:hint="default" w:asciiTheme="minorAscii" w:hAnsiTheme="minorAscii"/>
          <w:b w:val="0"/>
          <w:bCs w:val="0"/>
          <w:color w:val="auto"/>
          <w:sz w:val="24"/>
          <w:szCs w:val="24"/>
          <w:lang w:val="en-US"/>
        </w:rPr>
        <w:t>Additionally, this program encourages participants to adopt healthier lifestyles, fostering community resilience while also increasing awareness of cardiovascular health. This application seeks funding support to provide the necessary resources for implementing a valuable and effective program that will ultimately lead to improved cardiovascular health across our community. By supporting this initiative, the Ian Potter Foundation will play a crucial role in fostering a healthier future, reducing healthcare inequalities, and enhancing the well-being of individuals in our society. Together, through a commitment to culturally appropriate intervention strategies, we can make a significant impact on the urgent issue of cardiovascular disease.</w:t>
      </w:r>
    </w:p>
    <w:p w14:paraId="3A058B12">
      <w:r>
        <w:br w:type="page"/>
      </w:r>
    </w:p>
    <w:p w14:paraId="17FE4B5F">
      <w:pPr>
        <w:pStyle w:val="2"/>
      </w:pPr>
      <w:r>
        <w:t>References</w:t>
      </w:r>
    </w:p>
    <w:p w14:paraId="3199C30D">
      <w:pPr>
        <w:pStyle w:val="16"/>
        <w:keepNext w:val="0"/>
        <w:keepLines w:val="0"/>
        <w:widowControl/>
        <w:numPr>
          <w:ilvl w:val="0"/>
          <w:numId w:val="1"/>
        </w:numPr>
        <w:suppressLineNumbers w:val="0"/>
        <w:spacing w:before="0" w:beforeAutospacing="0" w:after="0" w:afterAutospacing="0" w:line="640" w:lineRule="atLeast"/>
        <w:ind w:left="0" w:hanging="720"/>
        <w:rPr>
          <w:rFonts w:hint="default" w:asciiTheme="minorAscii" w:hAnsiTheme="minorAscii"/>
          <w:lang w:val="en-US"/>
        </w:rPr>
      </w:pPr>
      <w:r>
        <w:rPr>
          <w:rFonts w:hint="default" w:cs="Times New Roman" w:asciiTheme="minorAscii" w:hAnsiTheme="minorAscii"/>
          <w:i/>
          <w:iCs/>
          <w:caps w:val="0"/>
          <w:color w:val="000000"/>
          <w:spacing w:val="0"/>
          <w:sz w:val="24"/>
          <w:szCs w:val="24"/>
          <w:u w:val="none"/>
        </w:rPr>
        <w:t>Our history</w:t>
      </w:r>
      <w:r>
        <w:rPr>
          <w:rFonts w:hint="default" w:cs="Times New Roman" w:asciiTheme="minorAscii" w:hAnsiTheme="minorAscii"/>
          <w:i w:val="0"/>
          <w:iCs w:val="0"/>
          <w:caps w:val="0"/>
          <w:color w:val="000000"/>
          <w:spacing w:val="0"/>
          <w:sz w:val="24"/>
          <w:szCs w:val="24"/>
          <w:u w:val="none"/>
        </w:rPr>
        <w:t>. (n.d.). The Ian Potter Foundation.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"https://www.ianpotter.org.au/about-us/our-history/"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https://www.ianpotter.org.au/about-us/our-history/</w:t>
      </w:r>
      <w:r>
        <w:rPr>
          <w:rFonts w:hint="default" w:cs="Times New Roman" w:asciiTheme="minorAscii" w:hAnsiTheme="minorAscii"/>
          <w:i w:val="0"/>
          <w:iCs w:val="0"/>
          <w:caps w:val="0"/>
          <w:color w:val="000000"/>
          <w:spacing w:val="0"/>
          <w:sz w:val="24"/>
          <w:szCs w:val="24"/>
          <w:u w:val="none"/>
        </w:rPr>
        <w:fldChar w:fldCharType="end"/>
      </w:r>
    </w:p>
    <w:p w14:paraId="64C5C317">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asciiTheme="minorAscii" w:hAnsiTheme="minorAscii"/>
          <w:lang w:val="en-US"/>
        </w:rPr>
      </w:pPr>
      <w:r>
        <w:rPr>
          <w:rFonts w:hint="default" w:cs="Times New Roman" w:asciiTheme="minorAscii" w:hAnsiTheme="minorAscii"/>
          <w:i/>
          <w:iCs/>
          <w:caps w:val="0"/>
          <w:color w:val="000000"/>
          <w:spacing w:val="0"/>
          <w:sz w:val="24"/>
          <w:szCs w:val="24"/>
          <w:u w:val="none"/>
        </w:rPr>
        <w:t>Our vision</w:t>
      </w:r>
      <w:r>
        <w:rPr>
          <w:rFonts w:hint="default" w:cs="Times New Roman" w:asciiTheme="minorAscii" w:hAnsiTheme="minorAscii"/>
          <w:i w:val="0"/>
          <w:iCs w:val="0"/>
          <w:caps w:val="0"/>
          <w:color w:val="000000"/>
          <w:spacing w:val="0"/>
          <w:sz w:val="24"/>
          <w:szCs w:val="24"/>
          <w:u w:val="none"/>
        </w:rPr>
        <w:t>. (n.d.). The Ian Potter Foundation.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"https://www.ianpotter.org.au/our-vision/"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https://www.ianpotter.org.au/our-vision/</w:t>
      </w:r>
      <w:r>
        <w:rPr>
          <w:rFonts w:hint="default" w:cs="Times New Roman" w:asciiTheme="minorAscii" w:hAnsiTheme="minorAscii"/>
          <w:i w:val="0"/>
          <w:iCs w:val="0"/>
          <w:caps w:val="0"/>
          <w:color w:val="000000"/>
          <w:spacing w:val="0"/>
          <w:sz w:val="24"/>
          <w:szCs w:val="24"/>
          <w:u w:val="none"/>
        </w:rPr>
        <w:fldChar w:fldCharType="end"/>
      </w:r>
    </w:p>
    <w:p w14:paraId="163F5A69">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sz w:val="24"/>
          <w:szCs w:val="24"/>
        </w:rPr>
      </w:pPr>
      <w:r>
        <w:rPr>
          <w:rFonts w:hint="default" w:cs="Times New Roman" w:asciiTheme="minorAscii" w:hAnsiTheme="minorAscii"/>
          <w:i w:val="0"/>
          <w:iCs w:val="0"/>
          <w:caps w:val="0"/>
          <w:color w:val="000000"/>
          <w:spacing w:val="0"/>
          <w:sz w:val="24"/>
          <w:szCs w:val="24"/>
          <w:u w:val="none"/>
        </w:rPr>
        <w:t>The Heart Research Institute. (2024). Heart attack, stroke and cardiovascular disease in Australia: Statistics and facts. </w:t>
      </w:r>
      <w:r>
        <w:rPr>
          <w:rFonts w:hint="default" w:cs="Times New Roman" w:asciiTheme="minorAscii" w:hAnsiTheme="minorAscii"/>
          <w:i/>
          <w:iCs/>
          <w:caps w:val="0"/>
          <w:color w:val="000000"/>
          <w:spacing w:val="0"/>
          <w:sz w:val="24"/>
          <w:szCs w:val="24"/>
          <w:u w:val="none"/>
        </w:rPr>
        <w:t>Heart Research Institute</w:t>
      </w:r>
      <w:r>
        <w:rPr>
          <w:rFonts w:hint="default" w:cs="Times New Roman" w:asciiTheme="minorAscii" w:hAnsiTheme="minorAscii"/>
          <w:i w:val="0"/>
          <w:iCs w:val="0"/>
          <w:caps w:val="0"/>
          <w:color w:val="000000"/>
          <w:spacing w:val="0"/>
          <w:sz w:val="24"/>
          <w:szCs w:val="24"/>
          <w:u w:val="none"/>
        </w:rPr>
        <w:t>.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www.hri.org.au/health/learn/cardiovascular-disease/heart-attack-stroke-and-cardiovascular-disease-in-australia-statistics-and-facts#:~:text=CVD%20is%20Australia's%20%E2%80%93%20and%20the,for%2010.1%25%20of%20all%20deaths.&amp;text=CVD%20kills%20one%20in%20every,25%25%20of%20all%20deaths)."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www.hri.org.au/health/learn/cardiovascular-disease/heart-attack-stroke-and-cardiovascular-disease-in-australia-statistics-and-facts#:~:text=CVD%20is%20Australia's%20%E2%80%93%20and%20the,for%2010.1%25%20of%20all%20deaths.&amp;text=CVD%20kills%20one%20in%20every,25%25%20of%20all%20deaths).</w:t>
      </w:r>
      <w:r>
        <w:rPr>
          <w:rFonts w:hint="default" w:cs="Times New Roman" w:asciiTheme="minorAscii" w:hAnsiTheme="minorAscii"/>
          <w:i w:val="0"/>
          <w:iCs w:val="0"/>
          <w:caps w:val="0"/>
          <w:color w:val="000000"/>
          <w:spacing w:val="0"/>
          <w:sz w:val="24"/>
          <w:szCs w:val="24"/>
          <w:u w:val="none"/>
        </w:rPr>
        <w:fldChar w:fldCharType="end"/>
      </w:r>
    </w:p>
    <w:p w14:paraId="6EEBEC02">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sz w:val="24"/>
          <w:szCs w:val="24"/>
        </w:rPr>
      </w:pPr>
      <w:r>
        <w:rPr>
          <w:rFonts w:hint="default" w:cs="Times New Roman" w:asciiTheme="minorAscii" w:hAnsiTheme="minorAscii"/>
          <w:i/>
          <w:iCs/>
          <w:caps w:val="0"/>
          <w:color w:val="000000"/>
          <w:spacing w:val="0"/>
          <w:sz w:val="24"/>
          <w:szCs w:val="24"/>
          <w:u w:val="none"/>
        </w:rPr>
        <w:t>Key statistics: Cardiovascular disease: Statistics and information on cardiovascular disease in Australia</w:t>
      </w:r>
      <w:r>
        <w:rPr>
          <w:rFonts w:hint="default" w:cs="Times New Roman" w:asciiTheme="minorAscii" w:hAnsiTheme="minorAscii"/>
          <w:i w:val="0"/>
          <w:iCs w:val="0"/>
          <w:caps w:val="0"/>
          <w:color w:val="000000"/>
          <w:spacing w:val="0"/>
          <w:sz w:val="24"/>
          <w:szCs w:val="24"/>
          <w:u w:val="none"/>
        </w:rPr>
        <w:t>. (2024, March 6). Heart Foundation.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"https://www.heartfoundation.org.au/your-heart/evidence-and-statistics/key-stats-cardiovascular-disease"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https://www.heartfoundation.org.au/your-heart/evidence-and-statistics/key-stats-cardiovascular-disease</w:t>
      </w:r>
      <w:r>
        <w:rPr>
          <w:rFonts w:hint="default" w:cs="Times New Roman" w:asciiTheme="minorAscii" w:hAnsiTheme="minorAscii"/>
          <w:i w:val="0"/>
          <w:iCs w:val="0"/>
          <w:caps w:val="0"/>
          <w:color w:val="000000"/>
          <w:spacing w:val="0"/>
          <w:sz w:val="24"/>
          <w:szCs w:val="24"/>
          <w:u w:val="none"/>
        </w:rPr>
        <w:fldChar w:fldCharType="end"/>
      </w:r>
    </w:p>
    <w:p w14:paraId="0FB30F46">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sz w:val="24"/>
          <w:szCs w:val="24"/>
        </w:rPr>
      </w:pPr>
      <w:r>
        <w:rPr>
          <w:rFonts w:hint="default" w:cs="Times New Roman" w:asciiTheme="minorAscii" w:hAnsiTheme="minorAscii"/>
          <w:i w:val="0"/>
          <w:iCs w:val="0"/>
          <w:caps w:val="0"/>
          <w:color w:val="000000"/>
          <w:spacing w:val="0"/>
          <w:sz w:val="24"/>
          <w:szCs w:val="24"/>
          <w:u w:val="none"/>
        </w:rPr>
        <w:t>Henderson, S., Kendall, E., &amp; See, L. (2011). The effectiveness of culturally appropriate interventions to manage or prevent chronic disease in culturally and linguistically diverse communities: a systematic literature review. </w:t>
      </w:r>
      <w:r>
        <w:rPr>
          <w:rFonts w:hint="default" w:cs="Times New Roman" w:asciiTheme="minorAscii" w:hAnsiTheme="minorAscii"/>
          <w:i/>
          <w:iCs/>
          <w:caps w:val="0"/>
          <w:color w:val="000000"/>
          <w:spacing w:val="0"/>
          <w:sz w:val="24"/>
          <w:szCs w:val="24"/>
          <w:u w:val="none"/>
        </w:rPr>
        <w:t>Health &amp; Social Care in the Community</w:t>
      </w:r>
      <w:r>
        <w:rPr>
          <w:rFonts w:hint="default" w:cs="Times New Roman" w:asciiTheme="minorAscii" w:hAnsiTheme="minorAscii"/>
          <w:i w:val="0"/>
          <w:iCs w:val="0"/>
          <w:caps w:val="0"/>
          <w:color w:val="000000"/>
          <w:spacing w:val="0"/>
          <w:sz w:val="24"/>
          <w:szCs w:val="24"/>
          <w:u w:val="none"/>
        </w:rPr>
        <w:t>, </w:t>
      </w:r>
      <w:r>
        <w:rPr>
          <w:rFonts w:hint="default" w:cs="Times New Roman" w:asciiTheme="minorAscii" w:hAnsiTheme="minorAscii"/>
          <w:i/>
          <w:iCs/>
          <w:caps w:val="0"/>
          <w:color w:val="000000"/>
          <w:spacing w:val="0"/>
          <w:sz w:val="24"/>
          <w:szCs w:val="24"/>
          <w:u w:val="none"/>
        </w:rPr>
        <w:t>19</w:t>
      </w:r>
      <w:r>
        <w:rPr>
          <w:rFonts w:hint="default" w:cs="Times New Roman" w:asciiTheme="minorAscii" w:hAnsiTheme="minorAscii"/>
          <w:i w:val="0"/>
          <w:iCs w:val="0"/>
          <w:caps w:val="0"/>
          <w:color w:val="000000"/>
          <w:spacing w:val="0"/>
          <w:sz w:val="24"/>
          <w:szCs w:val="24"/>
          <w:u w:val="none"/>
        </w:rPr>
        <w:t>(3), 225–249.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"https://doi.org/10.1111/j.1365-2524.2010.00972.x"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https://doi.org/10.1111/j.1365-2524.2010.00972.x</w:t>
      </w:r>
      <w:r>
        <w:rPr>
          <w:rFonts w:hint="default" w:cs="Times New Roman" w:asciiTheme="minorAscii" w:hAnsiTheme="minorAscii"/>
          <w:i w:val="0"/>
          <w:iCs w:val="0"/>
          <w:caps w:val="0"/>
          <w:color w:val="000000"/>
          <w:spacing w:val="0"/>
          <w:sz w:val="24"/>
          <w:szCs w:val="24"/>
          <w:u w:val="none"/>
        </w:rPr>
        <w:fldChar w:fldCharType="end"/>
      </w:r>
    </w:p>
    <w:p w14:paraId="11C1F284">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sz w:val="24"/>
          <w:szCs w:val="24"/>
        </w:rPr>
      </w:pPr>
      <w:r>
        <w:rPr>
          <w:rFonts w:hint="default" w:cs="Times New Roman" w:asciiTheme="minorAscii" w:hAnsiTheme="minorAscii"/>
          <w:i/>
          <w:iCs/>
          <w:caps w:val="0"/>
          <w:color w:val="000000"/>
          <w:spacing w:val="0"/>
          <w:sz w:val="24"/>
          <w:szCs w:val="24"/>
          <w:u w:val="none"/>
        </w:rPr>
        <w:t>Funding Pillars</w:t>
      </w:r>
      <w:r>
        <w:rPr>
          <w:rFonts w:hint="default" w:cs="Times New Roman" w:asciiTheme="minorAscii" w:hAnsiTheme="minorAscii"/>
          <w:i w:val="0"/>
          <w:iCs w:val="0"/>
          <w:caps w:val="0"/>
          <w:color w:val="000000"/>
          <w:spacing w:val="0"/>
          <w:sz w:val="24"/>
          <w:szCs w:val="24"/>
          <w:u w:val="none"/>
        </w:rPr>
        <w:t>. (n.d.). The Ian Potter Foundation.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"https://www.ianpotter.org.au/our-vision/funding-pillars/"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https://www.ianpotter.org.au/our-vision/funding-pillars/</w:t>
      </w:r>
      <w:r>
        <w:rPr>
          <w:rFonts w:hint="default" w:cs="Times New Roman" w:asciiTheme="minorAscii" w:hAnsiTheme="minorAscii"/>
          <w:i w:val="0"/>
          <w:iCs w:val="0"/>
          <w:caps w:val="0"/>
          <w:color w:val="000000"/>
          <w:spacing w:val="0"/>
          <w:sz w:val="24"/>
          <w:szCs w:val="24"/>
          <w:u w:val="none"/>
        </w:rPr>
        <w:fldChar w:fldCharType="end"/>
      </w:r>
    </w:p>
    <w:p w14:paraId="26BF0F20">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sz w:val="24"/>
          <w:szCs w:val="24"/>
        </w:rPr>
      </w:pPr>
      <w:r>
        <w:rPr>
          <w:rFonts w:hint="default" w:cs="Times New Roman" w:asciiTheme="minorAscii" w:hAnsiTheme="minorAscii"/>
          <w:i/>
          <w:iCs/>
          <w:caps w:val="0"/>
          <w:color w:val="000000"/>
          <w:spacing w:val="0"/>
          <w:sz w:val="24"/>
          <w:szCs w:val="24"/>
          <w:u w:val="none"/>
        </w:rPr>
        <w:t>Public health research</w:t>
      </w:r>
      <w:r>
        <w:rPr>
          <w:rFonts w:hint="default" w:cs="Times New Roman" w:asciiTheme="minorAscii" w:hAnsiTheme="minorAscii"/>
          <w:i w:val="0"/>
          <w:iCs w:val="0"/>
          <w:caps w:val="0"/>
          <w:color w:val="000000"/>
          <w:spacing w:val="0"/>
          <w:sz w:val="24"/>
          <w:szCs w:val="24"/>
          <w:u w:val="none"/>
        </w:rPr>
        <w:t>. (n.d.). The Ian Potter Foundation.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"https://www.ianpotter.org.au/what-we-support/program-areas/public-health-research/"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https://www.ianpotter.org.au/what-we-support/program-areas/public-health-research/</w:t>
      </w:r>
      <w:r>
        <w:rPr>
          <w:rFonts w:hint="default" w:cs="Times New Roman" w:asciiTheme="minorAscii" w:hAnsiTheme="minorAscii"/>
          <w:i w:val="0"/>
          <w:iCs w:val="0"/>
          <w:caps w:val="0"/>
          <w:color w:val="000000"/>
          <w:spacing w:val="0"/>
          <w:sz w:val="24"/>
          <w:szCs w:val="24"/>
          <w:u w:val="none"/>
        </w:rPr>
        <w:fldChar w:fldCharType="end"/>
      </w:r>
    </w:p>
    <w:p w14:paraId="3EA1E267">
      <w:pPr>
        <w:keepNext w:val="0"/>
        <w:keepLines w:val="0"/>
        <w:widowControl/>
        <w:suppressLineNumbers w:val="0"/>
        <w:jc w:val="left"/>
        <w:rPr>
          <w:rFonts w:ascii="SimSun" w:hAnsi="SimSun" w:eastAsia="SimSun" w:cs="SimSun"/>
          <w:color w:val="000000"/>
          <w:kern w:val="0"/>
          <w:sz w:val="24"/>
          <w:szCs w:val="24"/>
          <w:lang w:val="en-US" w:eastAsia="zh-CN" w:bidi="ar"/>
          <w14:ligatures w14:val="standardContextual"/>
        </w:rPr>
      </w:pPr>
    </w:p>
    <w:p w14:paraId="07E206A2">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i w:val="0"/>
          <w:iCs w:val="0"/>
          <w:caps w:val="0"/>
          <w:color w:val="000000"/>
          <w:spacing w:val="0"/>
          <w:sz w:val="24"/>
          <w:szCs w:val="24"/>
          <w:u w:val="none"/>
        </w:rPr>
      </w:pPr>
      <w:r>
        <w:rPr>
          <w:rFonts w:hint="default" w:ascii="SimSun" w:hAnsi="SimSun" w:eastAsia="SimSun" w:cs="SimSun"/>
          <w:color w:val="000000"/>
          <w:kern w:val="0"/>
          <w:sz w:val="24"/>
          <w:szCs w:val="24"/>
          <w:lang w:val="en-US" w:eastAsia="zh-CN" w:bidi="ar"/>
          <w14:ligatures w14:val="standardContextual"/>
        </w:rPr>
        <w:t xml:space="preserve">  </w:t>
      </w:r>
      <w:r>
        <w:rPr>
          <w:rFonts w:hint="default" w:cs="Times New Roman" w:asciiTheme="minorAscii" w:hAnsiTheme="minorAscii"/>
          <w:i w:val="0"/>
          <w:iCs w:val="0"/>
          <w:caps w:val="0"/>
          <w:color w:val="000000"/>
          <w:spacing w:val="0"/>
          <w:sz w:val="24"/>
          <w:szCs w:val="24"/>
          <w:u w:val="none"/>
        </w:rPr>
        <w:t>Hassen, H. Y., Ndejjo, R., Musinguzi, G., Van Geertruyden, J., Abrams, S., &amp; Bastiaens, H. (2021). Effectiveness of community-based cardiovascular disease prevention interventions to improve physical activity: A systematic review and meta-regression. </w:t>
      </w:r>
      <w:r>
        <w:rPr>
          <w:rFonts w:hint="default" w:cs="Times New Roman" w:asciiTheme="minorAscii" w:hAnsiTheme="minorAscii"/>
          <w:i/>
          <w:iCs/>
          <w:caps w:val="0"/>
          <w:color w:val="000000"/>
          <w:spacing w:val="0"/>
          <w:sz w:val="24"/>
          <w:szCs w:val="24"/>
          <w:u w:val="none"/>
        </w:rPr>
        <w:t>Preventive Medicine</w:t>
      </w:r>
      <w:r>
        <w:rPr>
          <w:rFonts w:hint="default" w:cs="Times New Roman" w:asciiTheme="minorAscii" w:hAnsiTheme="minorAscii"/>
          <w:i w:val="0"/>
          <w:iCs w:val="0"/>
          <w:caps w:val="0"/>
          <w:color w:val="000000"/>
          <w:spacing w:val="0"/>
          <w:sz w:val="24"/>
          <w:szCs w:val="24"/>
          <w:u w:val="none"/>
        </w:rPr>
        <w:t>, </w:t>
      </w:r>
      <w:r>
        <w:rPr>
          <w:rFonts w:hint="default" w:cs="Times New Roman" w:asciiTheme="minorAscii" w:hAnsiTheme="minorAscii"/>
          <w:i/>
          <w:iCs/>
          <w:caps w:val="0"/>
          <w:color w:val="000000"/>
          <w:spacing w:val="0"/>
          <w:sz w:val="24"/>
          <w:szCs w:val="24"/>
          <w:u w:val="none"/>
        </w:rPr>
        <w:t>153</w:t>
      </w:r>
      <w:r>
        <w:rPr>
          <w:rFonts w:hint="default" w:cs="Times New Roman" w:asciiTheme="minorAscii" w:hAnsiTheme="minorAscii"/>
          <w:i w:val="0"/>
          <w:iCs w:val="0"/>
          <w:caps w:val="0"/>
          <w:color w:val="000000"/>
          <w:spacing w:val="0"/>
          <w:sz w:val="24"/>
          <w:szCs w:val="24"/>
          <w:u w:val="none"/>
        </w:rPr>
        <w:t>, 106797. </w:t>
      </w:r>
      <w:r>
        <w:rPr>
          <w:rFonts w:hint="default" w:cs="Times New Roman" w:asciiTheme="minorAscii" w:hAnsiTheme="minorAscii"/>
          <w:i w:val="0"/>
          <w:iCs w:val="0"/>
          <w:caps w:val="0"/>
          <w:color w:val="000000"/>
          <w:spacing w:val="0"/>
          <w:sz w:val="24"/>
          <w:szCs w:val="24"/>
          <w:u w:val="none"/>
        </w:rPr>
        <w:fldChar w:fldCharType="begin"/>
      </w:r>
      <w:r>
        <w:rPr>
          <w:rFonts w:hint="default" w:cs="Times New Roman" w:asciiTheme="minorAscii" w:hAnsiTheme="minorAscii"/>
          <w:i w:val="0"/>
          <w:iCs w:val="0"/>
          <w:caps w:val="0"/>
          <w:color w:val="000000"/>
          <w:spacing w:val="0"/>
          <w:sz w:val="24"/>
          <w:szCs w:val="24"/>
          <w:u w:val="none"/>
        </w:rPr>
        <w:instrText xml:space="preserve"> HYPERLINK "https://doi.org/10.1016/j.ypmed.2021.106797" </w:instrText>
      </w:r>
      <w:r>
        <w:rPr>
          <w:rFonts w:hint="default" w:cs="Times New Roman" w:asciiTheme="minorAscii" w:hAnsiTheme="minorAscii"/>
          <w:i w:val="0"/>
          <w:iCs w:val="0"/>
          <w:caps w:val="0"/>
          <w:color w:val="000000"/>
          <w:spacing w:val="0"/>
          <w:sz w:val="24"/>
          <w:szCs w:val="24"/>
          <w:u w:val="none"/>
        </w:rPr>
        <w:fldChar w:fldCharType="separate"/>
      </w:r>
      <w:r>
        <w:rPr>
          <w:rStyle w:val="15"/>
          <w:rFonts w:hint="default" w:cs="Times New Roman" w:asciiTheme="minorAscii" w:hAnsiTheme="minorAscii"/>
          <w:i w:val="0"/>
          <w:iCs w:val="0"/>
          <w:caps w:val="0"/>
          <w:spacing w:val="0"/>
          <w:sz w:val="24"/>
          <w:szCs w:val="24"/>
        </w:rPr>
        <w:t>https://doi.org/10.1016/j.ypmed.2021.106797</w:t>
      </w:r>
      <w:r>
        <w:rPr>
          <w:rFonts w:hint="default" w:cs="Times New Roman" w:asciiTheme="minorAscii" w:hAnsiTheme="minorAscii"/>
          <w:i w:val="0"/>
          <w:iCs w:val="0"/>
          <w:caps w:val="0"/>
          <w:color w:val="000000"/>
          <w:spacing w:val="0"/>
          <w:sz w:val="24"/>
          <w:szCs w:val="24"/>
          <w:u w:val="none"/>
        </w:rPr>
        <w:fldChar w:fldCharType="end"/>
      </w:r>
    </w:p>
    <w:p w14:paraId="4791133B">
      <w:pPr>
        <w:pStyle w:val="16"/>
        <w:keepNext w:val="0"/>
        <w:keepLines w:val="0"/>
        <w:widowControl/>
        <w:numPr>
          <w:ilvl w:val="0"/>
          <w:numId w:val="1"/>
        </w:numPr>
        <w:suppressLineNumbers w:val="0"/>
        <w:spacing w:before="0" w:beforeAutospacing="0" w:after="0" w:afterAutospacing="0" w:line="640" w:lineRule="atLeast"/>
        <w:ind w:left="0" w:leftChars="0" w:hanging="720" w:firstLineChars="0"/>
        <w:rPr>
          <w:rFonts w:hint="default" w:cs="Times New Roman" w:asciiTheme="minorAscii" w:hAnsiTheme="minorAscii"/>
          <w:i w:val="0"/>
          <w:iCs w:val="0"/>
          <w:caps w:val="0"/>
          <w:color w:val="000000"/>
          <w:spacing w:val="0"/>
          <w:sz w:val="24"/>
          <w:szCs w:val="24"/>
          <w:u w:val="none"/>
        </w:rPr>
      </w:pPr>
      <w:r>
        <w:rPr>
          <w:rFonts w:hint="default" w:cs="Times New Roman" w:asciiTheme="minorAscii" w:hAnsiTheme="minorAscii"/>
          <w:i w:val="0"/>
          <w:iCs w:val="0"/>
          <w:caps w:val="0"/>
          <w:color w:val="000000"/>
          <w:spacing w:val="0"/>
          <w:sz w:val="24"/>
          <w:szCs w:val="24"/>
          <w:u w:val="none"/>
          <w:lang w:val="en-US"/>
        </w:rPr>
        <w:t xml:space="preserve"> </w:t>
      </w:r>
      <w:r>
        <w:rPr>
          <w:rFonts w:hint="default" w:ascii="Times New Roman" w:hAnsi="Times New Roman" w:cs="Times New Roman"/>
          <w:i/>
          <w:iCs/>
          <w:caps w:val="0"/>
          <w:color w:val="000000"/>
          <w:spacing w:val="0"/>
          <w:sz w:val="24"/>
          <w:szCs w:val="24"/>
          <w:u w:val="none"/>
        </w:rPr>
        <w:t>Heart, stroke and vascular disease: Australian facts, About</w:t>
      </w:r>
      <w:r>
        <w:rPr>
          <w:rFonts w:hint="default" w:ascii="Times New Roman" w:hAnsi="Times New Roman" w:cs="Times New Roman"/>
          <w:i w:val="0"/>
          <w:iCs w:val="0"/>
          <w:caps w:val="0"/>
          <w:color w:val="000000"/>
          <w:spacing w:val="0"/>
          <w:sz w:val="24"/>
          <w:szCs w:val="24"/>
          <w:u w:val="none"/>
        </w:rPr>
        <w:t>. (2024, June 17). Australian Institute of Health and Welfare. </w:t>
      </w:r>
      <w:r>
        <w:rPr>
          <w:rFonts w:hint="default" w:ascii="Times New Roman" w:hAnsi="Times New Roman" w:cs="Times New Roman"/>
          <w:i w:val="0"/>
          <w:iCs w:val="0"/>
          <w:caps w:val="0"/>
          <w:color w:val="000000"/>
          <w:spacing w:val="0"/>
          <w:sz w:val="24"/>
          <w:szCs w:val="24"/>
          <w:u w:val="none"/>
        </w:rPr>
        <w:fldChar w:fldCharType="begin"/>
      </w:r>
      <w:r>
        <w:rPr>
          <w:rFonts w:hint="default" w:ascii="Times New Roman" w:hAnsi="Times New Roman" w:cs="Times New Roman"/>
          <w:i w:val="0"/>
          <w:iCs w:val="0"/>
          <w:caps w:val="0"/>
          <w:color w:val="000000"/>
          <w:spacing w:val="0"/>
          <w:sz w:val="24"/>
          <w:szCs w:val="24"/>
          <w:u w:val="none"/>
        </w:rPr>
        <w:instrText xml:space="preserve"> HYPERLINK "https://www.aihw.gov.au/reports/heart-stroke-vascular-diseases/hsvd-facts/contents/about" </w:instrText>
      </w:r>
      <w:r>
        <w:rPr>
          <w:rFonts w:hint="default" w:ascii="Times New Roman" w:hAnsi="Times New Roman" w:cs="Times New Roman"/>
          <w:i w:val="0"/>
          <w:iCs w:val="0"/>
          <w:caps w:val="0"/>
          <w:color w:val="000000"/>
          <w:spacing w:val="0"/>
          <w:sz w:val="24"/>
          <w:szCs w:val="24"/>
          <w:u w:val="none"/>
        </w:rPr>
        <w:fldChar w:fldCharType="separate"/>
      </w:r>
      <w:r>
        <w:rPr>
          <w:rStyle w:val="15"/>
          <w:rFonts w:hint="default" w:ascii="Times New Roman" w:hAnsi="Times New Roman" w:cs="Times New Roman"/>
          <w:i w:val="0"/>
          <w:iCs w:val="0"/>
          <w:caps w:val="0"/>
          <w:spacing w:val="0"/>
          <w:sz w:val="24"/>
          <w:szCs w:val="24"/>
        </w:rPr>
        <w:t>https://www.aihw.gov.au/reports/heart-stroke-vascular-diseases/hsvd-facts/contents/about</w:t>
      </w:r>
      <w:r>
        <w:rPr>
          <w:rFonts w:hint="default" w:ascii="Times New Roman" w:hAnsi="Times New Roman" w:cs="Times New Roman"/>
          <w:i w:val="0"/>
          <w:iCs w:val="0"/>
          <w:caps w:val="0"/>
          <w:color w:val="000000"/>
          <w:spacing w:val="0"/>
          <w:sz w:val="24"/>
          <w:szCs w:val="24"/>
          <w:u w:val="none"/>
        </w:rPr>
        <w:fldChar w:fldCharType="end"/>
      </w:r>
      <w:r>
        <w:rPr>
          <w:rFonts w:hint="default" w:ascii="Times New Roman" w:hAnsi="Times New Roman" w:cs="Times New Roman"/>
          <w:i w:val="0"/>
          <w:iCs w:val="0"/>
          <w:caps w:val="0"/>
          <w:color w:val="000000"/>
          <w:spacing w:val="0"/>
          <w:sz w:val="24"/>
          <w:szCs w:val="24"/>
          <w:u w:val="none"/>
          <w:lang w:val="en-US"/>
        </w:rPr>
        <w:t xml:space="preserve"> </w:t>
      </w:r>
    </w:p>
    <w:p w14:paraId="6801B980">
      <w:pPr>
        <w:pStyle w:val="16"/>
        <w:keepNext w:val="0"/>
        <w:keepLines w:val="0"/>
        <w:widowControl/>
        <w:numPr>
          <w:ilvl w:val="0"/>
          <w:numId w:val="0"/>
        </w:numPr>
        <w:suppressLineNumbers w:val="0"/>
        <w:spacing w:before="0" w:beforeAutospacing="0" w:after="0" w:afterAutospacing="0" w:line="640" w:lineRule="atLeast"/>
        <w:ind w:left="-720" w:leftChars="0" w:right="0" w:rightChars="0"/>
        <w:rPr>
          <w:rFonts w:hint="default" w:cs="Times New Roman" w:asciiTheme="minorAscii" w:hAnsiTheme="minorAscii"/>
          <w:i w:val="0"/>
          <w:iCs w:val="0"/>
          <w:caps w:val="0"/>
          <w:color w:val="000000"/>
          <w:spacing w:val="0"/>
          <w:sz w:val="24"/>
          <w:szCs w:val="24"/>
          <w:u w:val="none"/>
        </w:rPr>
      </w:pPr>
    </w:p>
    <w:p w14:paraId="40386A83">
      <w:pPr>
        <w:keepNext w:val="0"/>
        <w:keepLines w:val="0"/>
        <w:widowControl/>
        <w:suppressLineNumbers w:val="0"/>
        <w:jc w:val="left"/>
        <w:rPr>
          <w:rFonts w:hint="default" w:asciiTheme="minorAscii" w:hAnsiTheme="minorAscii"/>
          <w:sz w:val="24"/>
          <w:szCs w:val="24"/>
        </w:rPr>
      </w:pPr>
    </w:p>
    <w:p w14:paraId="1C79A93E">
      <w:pPr>
        <w:pStyle w:val="16"/>
        <w:keepNext w:val="0"/>
        <w:keepLines w:val="0"/>
        <w:widowControl/>
        <w:numPr>
          <w:ilvl w:val="0"/>
          <w:numId w:val="0"/>
        </w:numPr>
        <w:suppressLineNumbers w:val="0"/>
        <w:spacing w:before="0" w:beforeAutospacing="0" w:after="0" w:afterAutospacing="0" w:line="640" w:lineRule="atLeast"/>
        <w:ind w:right="0" w:rightChars="0"/>
        <w:rPr>
          <w:rFonts w:hint="default" w:ascii="Times New Roman" w:hAnsi="Times New Roman" w:cs="Times New Roman"/>
          <w:sz w:val="24"/>
          <w:szCs w:val="24"/>
        </w:rPr>
      </w:pPr>
    </w:p>
    <w:p w14:paraId="3856C66B">
      <w:pPr>
        <w:pStyle w:val="16"/>
        <w:keepNext w:val="0"/>
        <w:keepLines w:val="0"/>
        <w:widowControl/>
        <w:numPr>
          <w:ilvl w:val="0"/>
          <w:numId w:val="0"/>
        </w:numPr>
        <w:suppressLineNumbers w:val="0"/>
        <w:spacing w:before="0" w:beforeAutospacing="0" w:after="0" w:afterAutospacing="0" w:line="640" w:lineRule="atLeast"/>
        <w:ind w:left="-720" w:leftChars="0" w:right="0" w:rightChars="0"/>
        <w:rPr>
          <w:rFonts w:hint="default" w:ascii="Times New Roman" w:hAnsi="Times New Roman" w:cs="Times New Roman"/>
          <w:sz w:val="24"/>
          <w:szCs w:val="24"/>
        </w:rPr>
      </w:pPr>
    </w:p>
    <w:p w14:paraId="50B5A17A">
      <w:pPr>
        <w:pStyle w:val="16"/>
        <w:keepNext w:val="0"/>
        <w:keepLines w:val="0"/>
        <w:widowControl/>
        <w:numPr>
          <w:ilvl w:val="0"/>
          <w:numId w:val="0"/>
        </w:numPr>
        <w:suppressLineNumbers w:val="0"/>
        <w:spacing w:before="0" w:beforeAutospacing="0" w:after="0" w:afterAutospacing="0" w:line="640" w:lineRule="atLeast"/>
        <w:ind w:right="0" w:rightChars="0"/>
        <w:rPr>
          <w:rFonts w:hint="default" w:ascii="Times New Roman" w:hAnsi="Times New Roman" w:cs="Times New Roman"/>
          <w:sz w:val="24"/>
          <w:szCs w:val="24"/>
        </w:rPr>
      </w:pPr>
    </w:p>
    <w:p w14:paraId="1C368736">
      <w:pPr>
        <w:pStyle w:val="16"/>
        <w:keepNext w:val="0"/>
        <w:keepLines w:val="0"/>
        <w:widowControl/>
        <w:numPr>
          <w:ilvl w:val="0"/>
          <w:numId w:val="0"/>
        </w:numPr>
        <w:suppressLineNumbers w:val="0"/>
        <w:spacing w:before="0" w:beforeAutospacing="0" w:after="0" w:afterAutospacing="0" w:line="640" w:lineRule="atLeast"/>
        <w:ind w:right="0" w:rightChars="0"/>
        <w:rPr>
          <w:rFonts w:hint="default" w:ascii="Times New Roman" w:hAnsi="Times New Roman" w:cs="Times New Roman"/>
          <w:sz w:val="24"/>
          <w:szCs w:val="24"/>
        </w:rPr>
      </w:pPr>
    </w:p>
    <w:p w14:paraId="2BE6415F">
      <w:pPr>
        <w:pStyle w:val="16"/>
        <w:keepNext w:val="0"/>
        <w:keepLines w:val="0"/>
        <w:widowControl/>
        <w:numPr>
          <w:ilvl w:val="0"/>
          <w:numId w:val="0"/>
        </w:numPr>
        <w:suppressLineNumbers w:val="0"/>
        <w:spacing w:before="0" w:beforeAutospacing="0" w:after="0" w:afterAutospacing="0" w:line="640" w:lineRule="atLeast"/>
        <w:ind w:left="-720" w:leftChars="0" w:right="0" w:rightChars="0"/>
        <w:rPr>
          <w:rFonts w:hint="default"/>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ptos body">
    <w:altName w:val="苹方-简"/>
    <w:panose1 w:val="00000000000000000000"/>
    <w:charset w:val="00"/>
    <w:family w:val="auto"/>
    <w:pitch w:val="default"/>
    <w:sig w:usb0="00000000" w:usb1="00000000" w:usb2="00000000" w:usb3="00000000" w:csb0="00000000" w:csb1="00000000"/>
  </w:font>
  <w:font w:name="aptos (body)">
    <w:altName w:val="苹方-简"/>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Open San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DDDC2D"/>
    <w:multiLevelType w:val="singleLevel"/>
    <w:tmpl w:val="66DDDC2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40D"/>
    <w:rsid w:val="007B045C"/>
    <w:rsid w:val="00863350"/>
    <w:rsid w:val="008B040D"/>
    <w:rsid w:val="00A07845"/>
    <w:rsid w:val="00AA03E3"/>
    <w:rsid w:val="F9BC8820"/>
    <w:rsid w:val="FDFF0B2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semiHidden/>
    <w:unhideWhenUsed/>
    <w:uiPriority w:val="99"/>
    <w:rPr>
      <w:color w:val="0000FF"/>
      <w:u w:val="single"/>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table" w:customStyle="1" w:styleId="38">
    <w:name w:val="Grid Table 1 Light Accent 1"/>
    <w:basedOn w:val="12"/>
    <w:uiPriority w:val="46"/>
    <w:pPr>
      <w:spacing w:after="0" w:line="240" w:lineRule="auto"/>
    </w:pPr>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table" w:customStyle="1" w:styleId="39">
    <w:name w:val="Grid Table 6 Colorful Accent 1"/>
    <w:basedOn w:val="12"/>
    <w:uiPriority w:val="51"/>
    <w:pPr>
      <w:spacing w:after="0" w:line="240" w:lineRule="auto"/>
    </w:pPr>
    <w:rPr>
      <w:color w:val="104862" w:themeColor="accent1" w:themeShade="BF"/>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67</Words>
  <Characters>384</Characters>
  <Lines>3</Lines>
  <Paragraphs>1</Paragraphs>
  <TotalTime>172</TotalTime>
  <ScaleCrop>false</ScaleCrop>
  <LinksUpToDate>false</LinksUpToDate>
  <CharactersWithSpaces>450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2024-07-08T01:01:00Z</dcterms:created>
  <dc:creator>Kelly Jaunzems</dc:creator>
  <cp:lastModifiedBy>business tamzid kazim</cp:lastModifiedBy>
  <dcterms:modified xsi:type="dcterms:W3CDTF">2026-06-14T02:18:17Z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DADB2CA087C0A1CA18F71867386F674B_42</vt:lpwstr>
  </property>
</Properties>
</file>