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Start w:id="1" w:name="_GoBack"/>
      <w:bookmarkEnd w:id="1"/>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502"/>
      </w:tblGrid>
      <w:tr>
        <w:trPr>
          <w:cantSplit w:val="false"/>
        </w:trPr>
        <w:tc>
          <w:tcPr>
            <w:tcW w:w="4785" w:type="dxa"/>
            <w:tcBorders>
              <w:top w:val="nil"/>
              <w:left w:val="nil"/>
              <w:bottom w:val="nil"/>
              <w:insideH w:val="nil"/>
              <w:right w:val="nil"/>
              <w:insideV w:val="nil"/>
            </w:tcBorders>
            <w:shd w:fill="auto"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rPr>
                <w:sz w:val="24"/>
                <w:szCs w:val="24"/>
                <w:u w:val="single"/>
              </w:rPr>
            </w:pPr>
            <w:r>
              <w:rPr>
                <w:sz w:val="24"/>
                <w:szCs w:val="24"/>
              </w:rPr>
              <w:tab/>
            </w:r>
            <w:r>
              <w:rPr>
                <w:sz w:val="24"/>
                <w:szCs w:val="24"/>
                <w:u w:val="single"/>
              </w:rPr>
              <w:t>[navn]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Fnr.: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[org_fnr]</w:t>
            </w:r>
            <w:r>
              <w:rPr>
                <w:sz w:val="24"/>
                <w:szCs w:val="24"/>
              </w:rPr>
              <w:tab/>
            </w:r>
          </w:p>
          <w:p>
            <w:pPr>
              <w:pStyle w:val="GRAvsnitt"/>
              <w:spacing w:before="240" w:after="0"/>
              <w:ind w:left="720" w:right="0" w:hanging="0"/>
              <w:rPr>
                <w:sz w:val="24"/>
                <w:szCs w:val="24"/>
              </w:rPr>
            </w:pPr>
            <w:r>
              <w:rPr>
                <w:sz w:val="24"/>
                <w:szCs w:val="24"/>
              </w:rPr>
              <w:t>Adresse:</w:t>
            </w:r>
          </w:p>
          <w:p>
            <w:pPr>
              <w:pStyle w:val="GRAvsnitt"/>
              <w:spacing w:before="240" w:after="0"/>
              <w:ind w:left="720" w:right="0" w:hanging="0"/>
              <w:rPr>
                <w:sz w:val="24"/>
                <w:szCs w:val="24"/>
                <w:u w:val="single"/>
              </w:rPr>
            </w:pPr>
            <w:r>
              <w:rPr>
                <w:sz w:val="24"/>
                <w:szCs w:val="24"/>
                <w:u w:val="single"/>
              </w:rPr>
              <w:t>[postaddr]</w:t>
            </w:r>
          </w:p>
          <w:p>
            <w:pPr>
              <w:pStyle w:val="GRAvsnitt"/>
              <w:spacing w:before="0" w:after="0"/>
              <w:ind w:left="7920" w:right="0" w:hanging="0"/>
              <w:rPr>
                <w:b/>
                <w:bCs/>
                <w:sz w:val="24"/>
                <w:szCs w:val="24"/>
              </w:rPr>
            </w:pPr>
            <w:r>
              <w:rPr>
                <w:b/>
                <w:bCs/>
                <w:sz w:val="24"/>
                <w:szCs w:val="24"/>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bookmarkStart w:id="2" w:name="_Ref307235657"/>
            <w:bookmarkStart w:id="3" w:name="_Toc306290074"/>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4" w:name="_Ref307235657"/>
            <w:bookmarkStart w:id="5" w:name="_Toc306290074"/>
            <w:bookmarkEnd w:id="4"/>
            <w:bookmarkEnd w:id="5"/>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default" r:id="rId2"/>
                <w:headerReference w:type="first" r:id="rId3"/>
                <w:footerReference w:type="default" r:id="rId4"/>
                <w:footerReference w:type="first" r:id="rId5"/>
                <w:type w:val="nextPage"/>
                <w:pgSz w:w="11906" w:h="16838"/>
                <w:pgMar w:left="1417" w:right="1417" w:header="708" w:top="1417" w:footer="708" w:bottom="765"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[rom]</w:t>
            </w:r>
            <w:r>
              <w:rPr>
                <w:sz w:val="24"/>
                <w:szCs w:val="24"/>
                <w:u w:val="single"/>
              </w:rPr>
              <w:tab/>
            </w:r>
          </w:p>
          <w:p>
            <w:pPr>
              <w:pStyle w:val="GRAvsnitt"/>
              <w:spacing w:before="240" w:after="0"/>
              <w:ind w:left="720" w:right="0" w:hanging="0"/>
              <w:rPr>
                <w:sz w:val="24"/>
                <w:szCs w:val="24"/>
                <w:u w:val="single"/>
              </w:rPr>
            </w:pPr>
            <w:r>
              <w:rPr>
                <w:sz w:val="24"/>
                <w:szCs w:val="24"/>
              </w:rPr>
              <w:t xml:space="preserve">Areal: </w:t>
            </w:r>
            <w:r>
              <w:rPr>
                <w:sz w:val="24"/>
                <w:szCs w:val="24"/>
                <w:u w:val="single"/>
              </w:rPr>
              <w:t>[areal]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6" w:name="_Toc306290075"/>
            <w:bookmarkStart w:id="7" w:name="_Ref306290114"/>
            <w:bookmarkEnd w:id="6"/>
            <w:bookmarkEnd w:id="7"/>
            <w:r>
              <w:rPr>
                <w:rStyle w:val="Intern"/>
                <w:szCs w:val="24"/>
              </w:rPr>
              <w:t>Leietid</w:t>
            </w:r>
          </w:p>
          <w:p>
            <w:pPr>
              <w:pStyle w:val="GRAvsnitt"/>
              <w:spacing w:before="0" w:after="0"/>
              <w:jc w:val="both"/>
              <w:rPr>
                <w:sz w:val="24"/>
                <w:szCs w:val="24"/>
              </w:rPr>
            </w:pPr>
            <w:r>
              <w:rPr>
                <w:sz w:val="24"/>
                <w:szCs w:val="24"/>
              </w:rPr>
              <w:t xml:space="preserve">Leieforholdet er tidsubestemt og løper fra </w:t>
            </w:r>
            <w:r>
              <w:rPr>
                <w:sz w:val="24"/>
                <w:szCs w:val="24"/>
                <w:u w:val="single"/>
              </w:rPr>
              <w:t>[startdato]</w:t>
            </w:r>
            <w:r>
              <w:rPr>
                <w:sz w:val="24"/>
                <w:szCs w:val="24"/>
              </w:rPr>
              <w:t>. Minimum leieperiode er tre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8" w:name="_Ref307235946"/>
            <w:bookmarkEnd w:id="8"/>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aksepterer ved signatur på Fremleieavtalen og vedlagte blankett (Bilag 2) at leie skal betales ved bruk av Avtalegiro.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bookmarkStart w:id="9" w:name="__DdeLink__632_272201654"/>
            <w:r>
              <w:rPr>
                <w:sz w:val="24"/>
                <w:szCs w:val="24"/>
              </w:rPr>
              <w:t>[dag_i_maned]</w:t>
            </w:r>
            <w:bookmarkEnd w:id="9"/>
            <w:r>
              <w:rPr>
                <w:sz w:val="24"/>
                <w:szCs w:val="24"/>
              </w:rPr>
              <w:t>.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innforstått med at Fremutleier vil kreve et administrasjonsgebyr på kr </w:t>
            </w:r>
            <w:r>
              <w:rPr>
                <w:b w:val="false"/>
                <w:bCs w:val="false"/>
                <w:sz w:val="24"/>
                <w:szCs w:val="24"/>
              </w:rPr>
              <w:t>[admingebyr]</w:t>
            </w:r>
            <w:r>
              <w:rPr>
                <w:sz w:val="24"/>
                <w:szCs w:val="24"/>
              </w:rPr>
              <w:t xml:space="preserve">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6">
              <w:r>
                <w:rPr>
                  <w:rStyle w:val="Hyperlinkchar1"/>
                  <w:sz w:val="24"/>
                  <w:szCs w:val="24"/>
                </w:rPr>
                <w:t>§ 4-18</w:t>
              </w:r>
            </w:hyperlink>
            <w:r>
              <w:rPr>
                <w:sz w:val="24"/>
                <w:szCs w:val="24"/>
              </w:rPr>
              <w:t xml:space="preserve"> og </w:t>
            </w:r>
            <w:hyperlink r:id="rId7">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8">
              <w:r>
                <w:rPr>
                  <w:rStyle w:val="Hyperlinkchar1"/>
                  <w:szCs w:val="24"/>
                </w:rPr>
                <w:t>§ 4-18</w:t>
              </w:r>
            </w:hyperlink>
            <w:r>
              <w:rPr>
                <w:szCs w:val="24"/>
              </w:rPr>
              <w:t xml:space="preserve"> og </w:t>
            </w:r>
            <w:hyperlink r:id="rId9">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10" w:name="_Ref307235690"/>
            <w:bookmarkEnd w:id="10"/>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11" w:name="_Ref307235935"/>
            <w:bookmarkEnd w:id="11"/>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sz w:val="24"/>
                <w:szCs w:val="24"/>
                <w:u w:val="single"/>
              </w:rPr>
              <w:t>[utleier_sted]/[dagensdato]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auto"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240" w:after="0"/>
              <w:ind w:left="720" w:right="0" w:hanging="0"/>
              <w:rPr>
                <w:rFonts w:cs="Calibri"/>
                <w:sz w:val="24"/>
                <w:szCs w:val="24"/>
                <w:u w:val="single"/>
              </w:rPr>
            </w:pPr>
            <w:r>
              <w:rPr>
                <w:rFonts w:cs="Calibri"/>
                <w:sz w:val="24"/>
                <w:szCs w:val="24"/>
                <w:u w:val="single"/>
              </w:rPr>
              <w:t>[navn]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Personal identification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[org_fnr]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[postaddr]</w:t>
            </w:r>
          </w:p>
          <w:p>
            <w:pPr>
              <w:pStyle w:val="GRAvsnitt"/>
              <w:spacing w:before="240" w:after="0"/>
              <w:ind w:left="720" w:right="0" w:hanging="0"/>
              <w:rPr/>
            </w:pPr>
            <w:r>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1151"/>
              </w:sect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[startdato]</w:t>
            </w:r>
            <w:r>
              <w:rPr>
                <w:rFonts w:cs="Calibri"/>
                <w:sz w:val="24"/>
                <w:szCs w:val="24"/>
                <w:lang w:val="en-GB"/>
              </w:rPr>
              <w:t xml:space="preserve">. Minimum term of lease is three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20th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w:t>
            </w:r>
            <w:r>
              <w:rPr>
                <w:rFonts w:cs="Calibri"/>
                <w:b w:val="false"/>
                <w:bCs w:val="false"/>
                <w:sz w:val="24"/>
                <w:szCs w:val="24"/>
                <w:lang w:val="en-GB"/>
              </w:rPr>
              <w:t>[admingebyr]</w:t>
            </w:r>
            <w:r>
              <w:rPr>
                <w:rFonts w:cs="Calibri"/>
                <w:sz w:val="24"/>
                <w:szCs w:val="24"/>
                <w:lang w:val="en-GB"/>
              </w:rPr>
              <w:t xml:space="preserve">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
              </w:rPr>
              <w:t>The Sub-tenant is</w:t>
            </w:r>
            <w:r>
              <w:rPr>
                <w:rStyle w:val="Hps"/>
                <w:rFonts w:cs="Calibri"/>
                <w:sz w:val="24"/>
                <w:szCs w:val="24"/>
                <w:lang w:val="en-US"/>
              </w:rPr>
              <w:t xml:space="preserve"> </w:t>
            </w:r>
            <w:r>
              <w:rPr>
                <w:rStyle w:val="Hps"/>
                <w:rFonts w:cs="Calibri"/>
                <w:color w:val="222222"/>
                <w:sz w:val="24"/>
                <w:szCs w:val="24"/>
                <w:lang w:val="en"/>
              </w:rPr>
              <w:t>responsible</w:t>
            </w:r>
            <w:r>
              <w:rPr>
                <w:rStyle w:val="Hps"/>
                <w:rFonts w:cs="Calibri"/>
                <w:sz w:val="24"/>
                <w:szCs w:val="24"/>
                <w:lang w:val="en-US"/>
              </w:rPr>
              <w:t xml:space="preserve"> </w:t>
            </w:r>
            <w:r>
              <w:rPr>
                <w:rStyle w:val="Hps"/>
                <w:rFonts w:cs="Calibri"/>
                <w:color w:val="222222"/>
                <w:sz w:val="24"/>
                <w:szCs w:val="24"/>
                <w:lang w:val="en"/>
              </w:rPr>
              <w:t>for taking out the</w:t>
            </w:r>
            <w:r>
              <w:rPr>
                <w:rStyle w:val="Hps"/>
                <w:rFonts w:cs="Calibri"/>
                <w:sz w:val="24"/>
                <w:szCs w:val="24"/>
                <w:lang w:val="en-US"/>
              </w:rPr>
              <w:t xml:space="preserve"> </w:t>
            </w:r>
            <w:r>
              <w:rPr>
                <w:rStyle w:val="Hps"/>
                <w:rFonts w:cs="Calibri"/>
                <w:color w:val="222222"/>
                <w:sz w:val="24"/>
                <w:szCs w:val="24"/>
                <w:lang w:val="en"/>
              </w:rPr>
              <w:t>insurances</w:t>
            </w:r>
            <w:r>
              <w:rPr>
                <w:rStyle w:val="Hps"/>
                <w:rFonts w:cs="Calibri"/>
                <w:sz w:val="24"/>
                <w:szCs w:val="24"/>
                <w:lang w:val="en-US"/>
              </w:rPr>
              <w:t xml:space="preserve"> the Sub-tenant </w:t>
            </w:r>
            <w:r>
              <w:rPr>
                <w:rStyle w:val="Hps"/>
                <w:rFonts w:cs="Calibri"/>
                <w:color w:val="222222"/>
                <w:sz w:val="24"/>
                <w:szCs w:val="24"/>
                <w:lang w:val="en"/>
              </w:rPr>
              <w:t>deems necessary</w:t>
            </w:r>
            <w:r>
              <w:rPr>
                <w:rStyle w:val="Hps"/>
                <w:rFonts w:cs="Calibri"/>
                <w:sz w:val="24"/>
                <w:szCs w:val="24"/>
                <w:lang w:val="en-US"/>
              </w:rPr>
              <w:t xml:space="preserve"> </w:t>
            </w:r>
            <w:r>
              <w:rPr>
                <w:rStyle w:val="Hps"/>
                <w:rFonts w:cs="Calibri"/>
                <w:color w:val="222222"/>
                <w:sz w:val="24"/>
                <w:szCs w:val="24"/>
                <w:lang w:val="en"/>
              </w:rPr>
              <w:t>in</w:t>
            </w:r>
            <w:r>
              <w:rPr>
                <w:rStyle w:val="Hps"/>
                <w:rFonts w:cs="Calibri"/>
                <w:sz w:val="24"/>
                <w:szCs w:val="24"/>
                <w:lang w:val="en-US"/>
              </w:rPr>
              <w:t xml:space="preserve"> </w:t>
            </w:r>
            <w:r>
              <w:rPr>
                <w:rStyle w:val="Hps"/>
                <w:rFonts w:cs="Calibri"/>
                <w:color w:val="222222"/>
                <w:sz w:val="24"/>
                <w:szCs w:val="24"/>
                <w:lang w:val="en"/>
              </w:rPr>
              <w:t>connection with the</w:t>
            </w:r>
            <w:r>
              <w:rPr>
                <w:rStyle w:val="Hps"/>
                <w:rFonts w:cs="Calibri"/>
                <w:sz w:val="24"/>
                <w:szCs w:val="24"/>
                <w:lang w:val="en-US"/>
              </w:rPr>
              <w:t xml:space="preserve"> </w:t>
            </w:r>
            <w:r>
              <w:rPr>
                <w:rStyle w:val="Hps"/>
                <w:rFonts w:cs="Calibri"/>
                <w:color w:val="222222"/>
                <w:sz w:val="24"/>
                <w:szCs w:val="24"/>
                <w:lang w:val="en"/>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
              </w:rPr>
            </w:pPr>
            <w:r>
              <w:rPr>
                <w:rStyle w:val="Hps"/>
                <w:rFonts w:cs="Calibri"/>
                <w:sz w:val="24"/>
                <w:szCs w:val="24"/>
                <w:lang w:val="en-US"/>
              </w:rPr>
              <w:br/>
            </w:r>
            <w:r>
              <w:rPr>
                <w:rStyle w:val="Hps"/>
                <w:rFonts w:cs="Calibri"/>
                <w:color w:val="222222"/>
                <w:sz w:val="24"/>
                <w:szCs w:val="24"/>
                <w:lang w:val="en"/>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Avsnitt"/>
              <w:spacing w:before="0" w:after="0"/>
              <w:jc w:val="both"/>
              <w:rPr>
                <w:rFonts w:cs="Calibri"/>
                <w:color w:val="222222"/>
                <w:sz w:val="24"/>
                <w:szCs w:val="24"/>
                <w:lang w:val="en"/>
              </w:rPr>
            </w:pPr>
            <w:r>
              <w:rPr>
                <w:rFonts w:cs="Calibri"/>
                <w:color w:val="222222"/>
                <w:sz w:val="24"/>
                <w:szCs w:val="24"/>
                <w:lang w:val="en"/>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Fonts w:cs="Calibri"/>
                <w:szCs w:val="24"/>
                <w:lang w:val="en-GB"/>
              </w:rPr>
            </w:pPr>
            <w:r>
              <w:rPr>
                <w:rFonts w:cs="Calibri"/>
                <w:szCs w:val="24"/>
                <w:lang w:val="en-GB"/>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rFonts w:cs="Calibri"/>
                <w:sz w:val="24"/>
                <w:szCs w:val="24"/>
                <w:u w:val="single"/>
                <w:lang w:val="en-GB"/>
              </w:rPr>
            </w:pPr>
            <w:r>
              <w:rPr>
                <w:rFonts w:cs="Calibri"/>
                <w:sz w:val="24"/>
                <w:szCs w:val="24"/>
                <w:lang w:val="en-GB"/>
              </w:rPr>
              <w:t>Place/date:</w:t>
            </w:r>
            <w:r>
              <w:rPr>
                <w:rFonts w:cs="Calibri"/>
                <w:sz w:val="24"/>
                <w:szCs w:val="24"/>
                <w:u w:val="single"/>
                <w:lang w:val="en-GB"/>
              </w:rPr>
              <w:t>[utleier_sted]/[dagensdato]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0</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b/>
      </w:rPr>
    </w:pPr>
    <w:r>
      <w:rPr/>
      <w:t xml:space="preserve">Side </w:t>
    </w:r>
    <w:r>
      <w:rPr>
        <w:b/>
      </w:rPr>
      <w:fldChar w:fldCharType="begin"/>
    </w:r>
    <w:r>
      <w:instrText> PAGE \*Arabic </w:instrText>
    </w:r>
    <w:r>
      <w:fldChar w:fldCharType="separate"/>
    </w:r>
    <w:r>
      <w:t>1</w:t>
    </w:r>
    <w:r>
      <w:fldChar w:fldCharType="end"/>
    </w:r>
    <w:r>
      <w:rPr/>
      <w:t xml:space="preserve"> av </w:t>
    </w:r>
    <w:r>
      <w:rPr>
        <w:b/>
      </w:rPr>
      <w:fldChar w:fldCharType="begin"/>
    </w:r>
    <w:r>
      <w:instrText> NUMPAGES \*Arabic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3</w:t>
    </w:r>
    <w:r>
      <w:fldChar w:fldCharType="end"/>
    </w:r>
    <w:r>
      <w:rPr/>
      <w:t xml:space="preserve"> av </w:t>
    </w:r>
    <w:r>
      <w:rPr>
        <w:b/>
      </w:rPr>
      <w:fldChar w:fldCharType="begin"/>
    </w:r>
    <w:r>
      <w:instrText> NUMPAGES \*Arabic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t xml:space="preserve">Side </w:t>
    </w:r>
    <w:r>
      <w:rPr>
        <w:b/>
      </w:rPr>
      <w:fldChar w:fldCharType="begin"/>
    </w:r>
    <w:r>
      <w:instrText> PAGE \*Arabic </w:instrText>
    </w:r>
    <w:r>
      <w:fldChar w:fldCharType="separate"/>
    </w:r>
    <w:r>
      <w:t>3</w:t>
    </w:r>
    <w:r>
      <w:fldChar w:fldCharType="end"/>
    </w:r>
    <w:r>
      <w:rPr/>
      <w:t xml:space="preserve"> av </w:t>
    </w:r>
    <w:r>
      <w:rPr>
        <w:b/>
      </w:rPr>
      <w:fldChar w:fldCharType="begin"/>
    </w:r>
    <w:r>
      <w:instrText> NUMPAGES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Privatkunde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Privatkunde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6"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auto"/>
      <w:sz w:val="24"/>
      <w:szCs w:val="22"/>
      <w:lang w:eastAsia="nb-NO" w:val="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TopptekstTegn" w:customStyle="1">
    <w:name w:val="Topptekst Tegn"/>
    <w:uiPriority w:val="99"/>
    <w:link w:val="Topptekst"/>
    <w:rsid w:val="002a312b"/>
    <w:basedOn w:val="DefaultParagraphFont"/>
    <w:rPr>
      <w:rFonts w:ascii="Calibri" w:hAnsi="Calibri" w:eastAsia="Times New Roman" w:cs="Calibri"/>
      <w:sz w:val="24"/>
      <w:lang w:val="x-none" w:eastAsia="x-none"/>
    </w:rPr>
  </w:style>
  <w:style w:type="character" w:styleId="Hyperlinkchar1" w:customStyle="1">
    <w:name w:val="hyperlink__char1"/>
    <w:rsid w:val="002a312b"/>
    <w:rPr>
      <w:color w:val="0000FF"/>
    </w:rPr>
  </w:style>
  <w:style w:type="character" w:styleId="BunntekstTegn" w:customStyle="1">
    <w:name w:val="Bunntekst Tegn"/>
    <w:uiPriority w:val="99"/>
    <w:link w:val="Bunntekst"/>
    <w:rsid w:val="002a312b"/>
    <w:basedOn w:val="DefaultParagraphFont"/>
    <w:rPr>
      <w:rFonts w:ascii="Calibri" w:hAnsi="Calibri" w:eastAsia="Times New Roman" w:cs="Calibri"/>
      <w:sz w:val="24"/>
      <w:lang w:eastAsia="nb-NO"/>
    </w:rPr>
  </w:style>
  <w:style w:type="character" w:styleId="BobletekstTegn" w:customStyle="1">
    <w:name w:val="Bobletekst Tegn"/>
    <w:uiPriority w:val="99"/>
    <w:semiHidden/>
    <w:link w:val="Bobleteks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TopptekstTegn"/>
    <w:rsid w:val="002a312b"/>
    <w:basedOn w:val="Normal"/>
    <w:pPr>
      <w:tabs>
        <w:tab w:val="center" w:pos="4536" w:leader="none"/>
        <w:tab w:val="right" w:pos="9072" w:leader="none"/>
      </w:tabs>
    </w:pPr>
    <w:rPr>
      <w:lang w:val="x-none" w:eastAsia="x-none"/>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auto"/>
      <w:sz w:val="28"/>
      <w:szCs w:val="22"/>
      <w:lang w:eastAsia="nb-NO" w:val="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auto"/>
      <w:sz w:val="22"/>
      <w:szCs w:val="22"/>
      <w:lang w:eastAsia="nb-NO" w:val="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auto"/>
      <w:sz w:val="24"/>
      <w:szCs w:val="22"/>
      <w:lang w:eastAsia="nb-NO" w:val="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BunntekstTegn"/>
    <w:rsid w:val="002a312b"/>
    <w:basedOn w:val="Normal"/>
    <w:pPr>
      <w:tabs>
        <w:tab w:val="center" w:pos="4536" w:leader="none"/>
        <w:tab w:val="right" w:pos="9072" w:leader="none"/>
      </w:tabs>
    </w:pPr>
    <w:rPr/>
  </w:style>
  <w:style w:type="paragraph" w:styleId="BalloonText">
    <w:name w:val="Balloon Text"/>
    <w:uiPriority w:val="99"/>
    <w:semiHidden/>
    <w:unhideWhenUsed/>
    <w:link w:val="BobletekstTegn"/>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Vanligtabell">
    <w:name w:val="Normal Table"/>
    <w:uiPriority w:val="99"/>
    <w:semiHidden/>
    <w:unhideWhenUsed/>
    <w:tblPr>
      <w:tblInd w:type="dxa" w:w="0"/>
      <w:tblCellMar>
        <w:top w:w="0" w:type="dxa"/>
        <w:left w:w="108" w:type="dxa"/>
        <w:bottom w:w="0" w:type="dxa"/>
        <w:right w:w="108" w:type="dxa"/>
      </w:tblCellMar>
    </w:tblPr>
  </w:style>
  <w:style w:type="table" w:styleId="Tabellrutenett">
    <w:name w:val="Table Grid"/>
    <w:basedOn w:val="Vanligtabell"/>
    <w:uiPriority w:val="59"/>
    <w:rsid w:val="002a312b"/>
    <w:pPr>
      <w:spacing w:line="240" w:lineRule="auto"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abo.rettsdata.no/browse.aspx?sDest=gL19920626z2D86z2EzA74z2D18" TargetMode="External"/><Relationship Id="rId7" Type="http://schemas.openxmlformats.org/officeDocument/2006/relationships/hyperlink" Target="http://abo.rettsdata.no/browse.aspx?sDest=gL19920626z2D86z2EzA713z2D2" TargetMode="External"/><Relationship Id="rId8" Type="http://schemas.openxmlformats.org/officeDocument/2006/relationships/hyperlink" Target="http://abo.rettsdata.no/browse.aspx?sDest=gL19920626z2D86z2EzA74z2D18" TargetMode="External"/><Relationship Id="rId9" Type="http://schemas.openxmlformats.org/officeDocument/2006/relationships/hyperlink" Target="http://abo.rettsdata.no/browse.aspx?sDest=gL19920626z2D86z2EzA713z2D2"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2014-08-29T11:34:00Z</dcterms:created>
  <dc:creator>Kvale</dc:creator>
  <dc:language>en-US</dc:language>
  <cp:lastModifiedBy>Kvale</cp:lastModifiedBy>
  <cp:lastPrinted>2014-08-29T11:48:00Z</cp:lastPrinted>
  <dcterms:modified xsi:type="dcterms:W3CDTF">2014-08-29T11:50:00Z</dcterms:modified>
  <cp:revision>5</cp:revision>
</cp:coreProperties>
</file>