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D41A4" w14:textId="77777777" w:rsidR="00143A86" w:rsidRDefault="00000000">
      <w:pPr>
        <w:spacing w:after="30"/>
        <w:jc w:val="center"/>
      </w:pPr>
      <w:r>
        <w:rPr>
          <w:b/>
          <w:bCs/>
          <w:color w:val="1F4E79"/>
          <w:sz w:val="32"/>
          <w:szCs w:val="32"/>
        </w:rPr>
        <w:t>Physics-Integrated Generative Edge-AI Framework</w:t>
      </w:r>
    </w:p>
    <w:p w14:paraId="080C2013" w14:textId="77777777" w:rsidR="00143A86" w:rsidRDefault="00000000">
      <w:pPr>
        <w:spacing w:after="50"/>
        <w:jc w:val="center"/>
      </w:pPr>
      <w:r>
        <w:rPr>
          <w:b/>
          <w:bCs/>
          <w:color w:val="1F4E79"/>
          <w:sz w:val="32"/>
          <w:szCs w:val="32"/>
        </w:rPr>
        <w:t>for Explainable Aero-Engine Prognostics</w:t>
      </w:r>
    </w:p>
    <w:p w14:paraId="5437372B" w14:textId="1932979C" w:rsidR="00143A86" w:rsidRDefault="00BD56D6">
      <w:pPr>
        <w:spacing w:after="130"/>
        <w:jc w:val="center"/>
      </w:pPr>
      <w:r w:rsidRPr="00BD56D6">
        <w:rPr>
          <w:i/>
          <w:iCs/>
          <w:color w:val="555555"/>
          <w:sz w:val="18"/>
          <w:szCs w:val="18"/>
        </w:rPr>
        <w:t xml:space="preserve">Milestone 1 </w:t>
      </w:r>
      <w:proofErr w:type="gramStart"/>
      <w:r w:rsidRPr="00BD56D6">
        <w:rPr>
          <w:i/>
          <w:iCs/>
          <w:color w:val="555555"/>
          <w:sz w:val="18"/>
          <w:szCs w:val="18"/>
        </w:rPr>
        <w:t>Submission  |</w:t>
      </w:r>
      <w:proofErr w:type="gramEnd"/>
      <w:r w:rsidRPr="00BD56D6">
        <w:rPr>
          <w:i/>
          <w:iCs/>
          <w:color w:val="555555"/>
          <w:sz w:val="18"/>
          <w:szCs w:val="18"/>
        </w:rPr>
        <w:t xml:space="preserve">  IEEE IES Generative AI Challenge 2026</w:t>
      </w:r>
    </w:p>
    <w:p w14:paraId="654C4449" w14:textId="77777777" w:rsidR="00143A86" w:rsidRDefault="00000000">
      <w:pPr>
        <w:pStyle w:val="Heading1"/>
        <w:pBdr>
          <w:bottom w:val="single" w:sz="4" w:space="3" w:color="1F4E79"/>
        </w:pBdr>
      </w:pPr>
      <w:r>
        <w:t>1. Abstract</w:t>
      </w:r>
    </w:p>
    <w:p w14:paraId="39E4924A" w14:textId="77777777" w:rsidR="00143A86" w:rsidRPr="005D6BC5" w:rsidRDefault="00000000">
      <w:pPr>
        <w:spacing w:after="70"/>
        <w:jc w:val="both"/>
        <w:rPr>
          <w:sz w:val="20"/>
          <w:szCs w:val="20"/>
        </w:rPr>
      </w:pPr>
      <w:r w:rsidRPr="005D6BC5">
        <w:rPr>
          <w:sz w:val="20"/>
          <w:szCs w:val="20"/>
        </w:rPr>
        <w:t xml:space="preserve">Prognostics and Health Management of aircraft turbofan engines is a critical challenge in aerospace engineering, where accurate Remaining Useful Life (RUL) prediction enables proactive maintenance, reduces unplanned downtime, and improves operational safety. Existing approaches, from recurrent networks to attention-based transformers, predominantly deliver single-point RUL estimates with no uncertainty quantification and no mechanism to verify whether predictions respect the physical laws governing engine degradation. This work proposes a Physics-Integrated Generative Edge-AI Framework trained on the NASA C-MAPSS FD001 benchmark that replaces scalar point prediction with generative counterfactual prognostics. An attention-based encoder produces latent degradation embeddings that condition a physics-constrained conditional VAE to sample multiple plausible future degradation trajectories. Physics-derived constraints including degradation monotonicity and thermodynamic consistency are embedded directly into the training loss rather than applied post-hoc. A dual-head output delivers both a probabilistic RUL distribution and a physics-violation risk score per trajectory. A post-prediction Reliability Index feeds a three-tier gating layer producing ACCEPT, WARN, or REJECT decisions. Explainability is quantified through the novel Counterfactual Physical Consistency (CPC) metric, measuring whether generated trajectories remain physically coherent under shifted operating conditions. The system is deployed via a </w:t>
      </w:r>
      <w:proofErr w:type="spellStart"/>
      <w:r w:rsidRPr="005D6BC5">
        <w:rPr>
          <w:sz w:val="20"/>
          <w:szCs w:val="20"/>
        </w:rPr>
        <w:t>Streamlit</w:t>
      </w:r>
      <w:proofErr w:type="spellEnd"/>
      <w:r w:rsidRPr="005D6BC5">
        <w:rPr>
          <w:sz w:val="20"/>
          <w:szCs w:val="20"/>
        </w:rPr>
        <w:t xml:space="preserve"> dashboard, </w:t>
      </w:r>
      <w:proofErr w:type="spellStart"/>
      <w:r w:rsidRPr="005D6BC5">
        <w:rPr>
          <w:sz w:val="20"/>
          <w:szCs w:val="20"/>
        </w:rPr>
        <w:t>FastAPI</w:t>
      </w:r>
      <w:proofErr w:type="spellEnd"/>
      <w:r w:rsidRPr="005D6BC5">
        <w:rPr>
          <w:sz w:val="20"/>
          <w:szCs w:val="20"/>
        </w:rPr>
        <w:t xml:space="preserve"> backend, and an MQTT-connected live digital twin.</w:t>
      </w:r>
    </w:p>
    <w:p w14:paraId="10CCFEB2" w14:textId="77777777" w:rsidR="00143A86" w:rsidRDefault="00143A86">
      <w:pPr>
        <w:spacing w:before="60" w:after="40"/>
      </w:pPr>
    </w:p>
    <w:p w14:paraId="2353B607" w14:textId="77777777" w:rsidR="00143A86" w:rsidRDefault="00000000">
      <w:pPr>
        <w:pStyle w:val="Heading1"/>
        <w:pBdr>
          <w:bottom w:val="single" w:sz="4" w:space="3" w:color="1F4E79"/>
        </w:pBdr>
      </w:pPr>
      <w:r>
        <w:t>2. Literature Review</w:t>
      </w:r>
    </w:p>
    <w:p w14:paraId="58269884" w14:textId="77777777" w:rsidR="00BD56D6" w:rsidRPr="00BD56D6" w:rsidRDefault="00BD56D6" w:rsidP="00BD56D6">
      <w:pPr>
        <w:spacing w:after="80"/>
        <w:jc w:val="both"/>
        <w:rPr>
          <w:sz w:val="20"/>
          <w:szCs w:val="20"/>
        </w:rPr>
      </w:pPr>
      <w:r w:rsidRPr="00BD56D6">
        <w:rPr>
          <w:sz w:val="20"/>
          <w:szCs w:val="20"/>
        </w:rPr>
        <w:t>The following papers are reviewed with emphasis on existing implementations and key research gaps addressed by this work.</w:t>
      </w:r>
    </w:p>
    <w:p w14:paraId="5BB5DAC4" w14:textId="77777777" w:rsidR="00BD56D6" w:rsidRPr="00BD56D6" w:rsidRDefault="00BD56D6" w:rsidP="00BD56D6">
      <w:pPr>
        <w:spacing w:before="40" w:after="20"/>
        <w:rPr>
          <w:sz w:val="20"/>
          <w:szCs w:val="20"/>
        </w:rPr>
      </w:pPr>
    </w:p>
    <w:p w14:paraId="6A9670BC" w14:textId="77777777" w:rsidR="00BD56D6" w:rsidRPr="00BD56D6" w:rsidRDefault="00BD56D6" w:rsidP="00BD56D6">
      <w:pPr>
        <w:numPr>
          <w:ilvl w:val="0"/>
          <w:numId w:val="3"/>
        </w:numPr>
        <w:spacing w:after="60"/>
        <w:rPr>
          <w:sz w:val="20"/>
          <w:szCs w:val="20"/>
        </w:rPr>
      </w:pPr>
      <w:r w:rsidRPr="00BD56D6">
        <w:rPr>
          <w:b/>
          <w:bCs/>
          <w:sz w:val="20"/>
          <w:szCs w:val="20"/>
        </w:rPr>
        <w:t xml:space="preserve">Saxena et al. (2008), PHM08: </w:t>
      </w:r>
      <w:r w:rsidRPr="00BD56D6">
        <w:rPr>
          <w:sz w:val="20"/>
          <w:szCs w:val="20"/>
        </w:rPr>
        <w:t>Established the C-MAPSS benchmark through thermodynamic simulation of turbofan degradation. Introduced the asymmetric NASA scoring function. Gap: the thermodynamic physics embedded in the simulator are not re-used as training constraints in downstream models, and no trajectory-level ground truth exists for future degradation paths.</w:t>
      </w:r>
    </w:p>
    <w:p w14:paraId="286FCCD7" w14:textId="77777777" w:rsidR="00BD56D6" w:rsidRPr="00BD56D6" w:rsidRDefault="00BD56D6" w:rsidP="00BD56D6">
      <w:pPr>
        <w:numPr>
          <w:ilvl w:val="0"/>
          <w:numId w:val="3"/>
        </w:numPr>
        <w:spacing w:after="60"/>
        <w:rPr>
          <w:sz w:val="20"/>
          <w:szCs w:val="20"/>
        </w:rPr>
      </w:pPr>
      <w:r w:rsidRPr="00BD56D6">
        <w:rPr>
          <w:b/>
          <w:bCs/>
          <w:sz w:val="20"/>
          <w:szCs w:val="20"/>
        </w:rPr>
        <w:t xml:space="preserve">Heimes (2008), Zheng et al. (2017): </w:t>
      </w:r>
      <w:r w:rsidRPr="00BD56D6">
        <w:rPr>
          <w:sz w:val="20"/>
          <w:szCs w:val="20"/>
        </w:rPr>
        <w:t>Applied LSTMs and RNNs to C-MAPSS sensor windows, establishing recurrent baselines. Gap: all outputs are deterministic scalar values with no uncertainty representation, no stochastic trajectory modelling, and no internal mechanism to detect physically implausible predictions.</w:t>
      </w:r>
    </w:p>
    <w:p w14:paraId="64122733" w14:textId="77777777" w:rsidR="00BD56D6" w:rsidRPr="00BD56D6" w:rsidRDefault="00BD56D6" w:rsidP="00BD56D6">
      <w:pPr>
        <w:numPr>
          <w:ilvl w:val="0"/>
          <w:numId w:val="3"/>
        </w:numPr>
        <w:spacing w:after="60"/>
        <w:rPr>
          <w:sz w:val="20"/>
          <w:szCs w:val="20"/>
        </w:rPr>
      </w:pPr>
      <w:r w:rsidRPr="00BD56D6">
        <w:rPr>
          <w:b/>
          <w:bCs/>
          <w:sz w:val="20"/>
          <w:szCs w:val="20"/>
        </w:rPr>
        <w:t xml:space="preserve">Zhang et al. (2022), IEEE TIM: </w:t>
      </w:r>
      <w:r w:rsidRPr="00BD56D6">
        <w:rPr>
          <w:sz w:val="20"/>
          <w:szCs w:val="20"/>
        </w:rPr>
        <w:t>Proposed dual-aspect self-attention (temporal and sensor-wise) for RUL prediction, advancing the transformer-based state of the art on C-MAPSS. Gap: output remains a single scalar, explainability relies on post-hoc SHAP attribution, and physics are entirely absent from the model architecture.</w:t>
      </w:r>
    </w:p>
    <w:p w14:paraId="2776BA3A" w14:textId="77777777" w:rsidR="00BD56D6" w:rsidRPr="00BD56D6" w:rsidRDefault="00BD56D6" w:rsidP="00BD56D6">
      <w:pPr>
        <w:numPr>
          <w:ilvl w:val="0"/>
          <w:numId w:val="3"/>
        </w:numPr>
        <w:spacing w:after="60"/>
        <w:rPr>
          <w:sz w:val="20"/>
          <w:szCs w:val="20"/>
        </w:rPr>
      </w:pPr>
      <w:r w:rsidRPr="00BD56D6">
        <w:rPr>
          <w:b/>
          <w:bCs/>
          <w:sz w:val="20"/>
          <w:szCs w:val="20"/>
        </w:rPr>
        <w:t xml:space="preserve">Dempster et al. (2019), ROCKET: </w:t>
      </w:r>
      <w:r w:rsidRPr="00BD56D6">
        <w:rPr>
          <w:sz w:val="20"/>
          <w:szCs w:val="20"/>
        </w:rPr>
        <w:t>Demonstrated that random convolutional kernels achieve state-of-the-art time series classification accuracy at a fraction of the cost of deep learning methods. Gap: designed for classification only, with no uncertainty estimates, no generative capability, and no physical priors.</w:t>
      </w:r>
    </w:p>
    <w:p w14:paraId="10D30FBA" w14:textId="77777777" w:rsidR="00BD56D6" w:rsidRPr="00BD56D6" w:rsidRDefault="00BD56D6" w:rsidP="00BD56D6">
      <w:pPr>
        <w:numPr>
          <w:ilvl w:val="0"/>
          <w:numId w:val="3"/>
        </w:numPr>
        <w:spacing w:after="60"/>
        <w:rPr>
          <w:sz w:val="20"/>
          <w:szCs w:val="20"/>
        </w:rPr>
      </w:pPr>
      <w:r w:rsidRPr="00BD56D6">
        <w:rPr>
          <w:b/>
          <w:bCs/>
          <w:sz w:val="20"/>
          <w:szCs w:val="20"/>
        </w:rPr>
        <w:t xml:space="preserve">Christ et al. (2016), </w:t>
      </w:r>
      <w:proofErr w:type="spellStart"/>
      <w:r w:rsidRPr="00BD56D6">
        <w:rPr>
          <w:b/>
          <w:bCs/>
          <w:sz w:val="20"/>
          <w:szCs w:val="20"/>
        </w:rPr>
        <w:t>tsfresh</w:t>
      </w:r>
      <w:proofErr w:type="spellEnd"/>
      <w:r w:rsidRPr="00BD56D6">
        <w:rPr>
          <w:b/>
          <w:bCs/>
          <w:sz w:val="20"/>
          <w:szCs w:val="20"/>
        </w:rPr>
        <w:t xml:space="preserve">: </w:t>
      </w:r>
      <w:r w:rsidRPr="00BD56D6">
        <w:rPr>
          <w:sz w:val="20"/>
          <w:szCs w:val="20"/>
        </w:rPr>
        <w:t>Proposed scalable parallel feature extraction for industrial time series using non-parametric hypothesis testing. Gap: a preprocessing methodology only, producing engineered features with no physics grounding and no ability to reason over future degradation trajectories.</w:t>
      </w:r>
    </w:p>
    <w:p w14:paraId="0C0EFF15" w14:textId="77777777" w:rsidR="00BD56D6" w:rsidRPr="00BD56D6" w:rsidRDefault="00BD56D6" w:rsidP="00BD56D6">
      <w:pPr>
        <w:numPr>
          <w:ilvl w:val="0"/>
          <w:numId w:val="3"/>
        </w:numPr>
        <w:spacing w:after="60"/>
        <w:rPr>
          <w:sz w:val="20"/>
          <w:szCs w:val="20"/>
        </w:rPr>
      </w:pPr>
      <w:r w:rsidRPr="00BD56D6">
        <w:rPr>
          <w:b/>
          <w:bCs/>
          <w:sz w:val="20"/>
          <w:szCs w:val="20"/>
        </w:rPr>
        <w:t xml:space="preserve">Bayesian RUL approaches (Zhu et al. 2019, Biggio et al. 2021): </w:t>
      </w:r>
      <w:r w:rsidRPr="00BD56D6">
        <w:rPr>
          <w:sz w:val="20"/>
          <w:szCs w:val="20"/>
        </w:rPr>
        <w:t>Introduced uncertainty quantification via Monte Carlo dropout and deep ensembles, producing credible intervals alongside point estimates. Gap: uncertainty is purely statistical; no physically coherent trajectory generation, no counterfactual reasoning, and no physics-violation detection.</w:t>
      </w:r>
    </w:p>
    <w:p w14:paraId="365C780F" w14:textId="77777777" w:rsidR="00BD56D6" w:rsidRPr="00BD56D6" w:rsidRDefault="00BD56D6" w:rsidP="00BD56D6">
      <w:pPr>
        <w:numPr>
          <w:ilvl w:val="0"/>
          <w:numId w:val="3"/>
        </w:numPr>
        <w:spacing w:after="60"/>
        <w:rPr>
          <w:sz w:val="20"/>
          <w:szCs w:val="20"/>
        </w:rPr>
      </w:pPr>
      <w:r w:rsidRPr="00BD56D6">
        <w:rPr>
          <w:b/>
          <w:bCs/>
          <w:sz w:val="20"/>
          <w:szCs w:val="20"/>
        </w:rPr>
        <w:t xml:space="preserve">Li et al. (2024), physics-informed RUL review: </w:t>
      </w:r>
      <w:r w:rsidRPr="00BD56D6">
        <w:rPr>
          <w:sz w:val="20"/>
          <w:szCs w:val="20"/>
        </w:rPr>
        <w:t>Identified physics-informed frameworks as an emerging direction, but found that most works apply physics post-hoc or as input features rather than embedding them into the learning objective. Gap: no existing work embeds physics constraints into a generative model's training loss to ensure sampled trajectories are physically coherent by construction.</w:t>
      </w:r>
    </w:p>
    <w:p w14:paraId="1476B078" w14:textId="77777777" w:rsidR="00BD56D6" w:rsidRPr="00BD56D6" w:rsidRDefault="00BD56D6" w:rsidP="00BD56D6">
      <w:pPr>
        <w:spacing w:before="40" w:after="20"/>
        <w:rPr>
          <w:sz w:val="20"/>
          <w:szCs w:val="20"/>
        </w:rPr>
      </w:pPr>
    </w:p>
    <w:p w14:paraId="285C96FB" w14:textId="77777777" w:rsidR="00BD56D6" w:rsidRPr="00BD56D6" w:rsidRDefault="00BD56D6" w:rsidP="00BD56D6">
      <w:pPr>
        <w:spacing w:after="80"/>
        <w:jc w:val="both"/>
        <w:rPr>
          <w:sz w:val="20"/>
          <w:szCs w:val="20"/>
        </w:rPr>
      </w:pPr>
      <w:r w:rsidRPr="00BD56D6">
        <w:rPr>
          <w:sz w:val="20"/>
          <w:szCs w:val="20"/>
        </w:rPr>
        <w:t>The literature converges on three unresolved problems this project addresses simultaneously: (1) all mainstream models produce point estimates with no trajectory-level uncertainty; (2) physics knowledge is applied post-hoc rather than embedded in the generative process; and (3) no existing work supports physically grounded counterfactual reasoning over RUL under shifted operating conditions.</w:t>
      </w:r>
    </w:p>
    <w:p w14:paraId="0D2D290B" w14:textId="77777777" w:rsidR="00143A86" w:rsidRDefault="00143A86">
      <w:pPr>
        <w:spacing w:before="60" w:after="40"/>
      </w:pPr>
    </w:p>
    <w:p w14:paraId="188C50E8" w14:textId="77777777" w:rsidR="00143A86" w:rsidRDefault="00000000">
      <w:pPr>
        <w:pStyle w:val="Heading1"/>
        <w:pBdr>
          <w:bottom w:val="single" w:sz="4" w:space="3" w:color="1F4E79"/>
        </w:pBdr>
      </w:pPr>
      <w:r>
        <w:lastRenderedPageBreak/>
        <w:t>3. Proposed Methodology</w:t>
      </w:r>
    </w:p>
    <w:p w14:paraId="5A0899D0" w14:textId="77777777" w:rsidR="00143A86" w:rsidRDefault="00000000">
      <w:pPr>
        <w:spacing w:after="70"/>
        <w:jc w:val="both"/>
      </w:pPr>
      <w:r>
        <w:t>The pipeline below covers the end-to-end flow from raw sensor ingestion to gated RUL output. Stages 1 and 2 are shared across all modes. Stage 3 introduces a physics-constrained generative model that samples multiple degradation trajectories before converging at the dual-head output. Gating (stage 6) is strictly post-prediction — raw model output is always preserved for analysis.</w:t>
      </w:r>
    </w:p>
    <w:p w14:paraId="1701AFFC" w14:textId="77777777" w:rsidR="00143A86" w:rsidRDefault="00143A86">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6"/>
        <w:gridCol w:w="4194"/>
      </w:tblGrid>
      <w:tr w:rsidR="00BD56D6" w14:paraId="5FBFE5E3" w14:textId="77777777" w:rsidTr="00B0060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40" w:type="dxa"/>
              <w:left w:w="80" w:type="dxa"/>
              <w:bottom w:w="40" w:type="dxa"/>
              <w:right w:w="80" w:type="dxa"/>
            </w:tcMar>
          </w:tcPr>
          <w:p w14:paraId="0FFBC949" w14:textId="77777777" w:rsidR="00BD56D6" w:rsidRDefault="00BD56D6" w:rsidP="00B0060C">
            <w:pPr>
              <w:jc w:val="center"/>
            </w:pPr>
            <w:r>
              <w:rPr>
                <w:rFonts w:ascii="Cambria Math" w:hAnsi="Cambria Math" w:cs="Cambria Math"/>
                <w:b/>
                <w:bCs/>
                <w:sz w:val="16"/>
                <w:szCs w:val="16"/>
              </w:rPr>
              <w:t>①</w:t>
            </w:r>
            <w:r>
              <w:rPr>
                <w:b/>
                <w:bCs/>
                <w:sz w:val="16"/>
                <w:szCs w:val="16"/>
              </w:rPr>
              <w:t xml:space="preserve"> Data Ingestion</w:t>
            </w:r>
          </w:p>
        </w:tc>
        <w:tc>
          <w:tcPr>
            <w:tcW w:w="7360" w:type="dxa"/>
            <w:tcBorders>
              <w:top w:val="single" w:sz="1" w:space="0" w:color="BBBBBB"/>
              <w:left w:val="single" w:sz="1" w:space="0" w:color="BBBBBB"/>
              <w:bottom w:val="single" w:sz="1" w:space="0" w:color="BBBBBB"/>
              <w:right w:val="single" w:sz="1" w:space="0" w:color="BBBBBB"/>
            </w:tcBorders>
            <w:shd w:val="clear" w:color="auto" w:fill="F9F9F9"/>
            <w:tcMar>
              <w:top w:w="40" w:type="dxa"/>
              <w:left w:w="100" w:type="dxa"/>
              <w:bottom w:w="40" w:type="dxa"/>
              <w:right w:w="80" w:type="dxa"/>
            </w:tcMar>
          </w:tcPr>
          <w:p w14:paraId="4965C192" w14:textId="77777777" w:rsidR="00BD56D6" w:rsidRDefault="00BD56D6" w:rsidP="00B0060C">
            <w:r>
              <w:rPr>
                <w:sz w:val="16"/>
                <w:szCs w:val="16"/>
              </w:rPr>
              <w:t>CSV batch upload or live MQTT stream · 21 sensors + 3 op. settings per cycle</w:t>
            </w:r>
          </w:p>
        </w:tc>
      </w:tr>
      <w:tr w:rsidR="00BD56D6" w14:paraId="29248317" w14:textId="77777777" w:rsidTr="00B0060C">
        <w:trPr>
          <w:gridAfter w:val="1"/>
          <w:wAfter w:w="7360" w:type="dxa"/>
        </w:trPr>
        <w:tc>
          <w:tcPr>
            <w:tcW w:w="9360" w:type="dxa"/>
            <w:tcBorders>
              <w:top w:val="none" w:sz="0" w:space="0" w:color="FFFFFF"/>
              <w:left w:val="none" w:sz="0" w:space="0" w:color="FFFFFF"/>
              <w:bottom w:val="none" w:sz="0" w:space="0" w:color="FFFFFF"/>
              <w:right w:val="none" w:sz="0" w:space="0" w:color="FFFFFF"/>
            </w:tcBorders>
          </w:tcPr>
          <w:p w14:paraId="5FE32C39" w14:textId="77777777" w:rsidR="00BD56D6" w:rsidRDefault="00BD56D6" w:rsidP="00B0060C">
            <w:pPr>
              <w:jc w:val="center"/>
            </w:pPr>
            <w:r>
              <w:rPr>
                <w:color w:val="2E75B6"/>
                <w:sz w:val="16"/>
                <w:szCs w:val="16"/>
              </w:rPr>
              <w:t>↓</w:t>
            </w:r>
          </w:p>
        </w:tc>
      </w:tr>
      <w:tr w:rsidR="00BD56D6" w14:paraId="2320EBF6" w14:textId="77777777" w:rsidTr="00B0060C">
        <w:tc>
          <w:tcPr>
            <w:tcW w:w="2000" w:type="dxa"/>
            <w:tcBorders>
              <w:top w:val="single" w:sz="1" w:space="0" w:color="BBBBBB"/>
              <w:left w:val="single" w:sz="1" w:space="0" w:color="BBBBBB"/>
              <w:bottom w:val="single" w:sz="1" w:space="0" w:color="BBBBBB"/>
              <w:right w:val="single" w:sz="1" w:space="0" w:color="BBBBBB"/>
            </w:tcBorders>
            <w:shd w:val="clear" w:color="auto" w:fill="D5E8D4"/>
            <w:tcMar>
              <w:top w:w="40" w:type="dxa"/>
              <w:left w:w="80" w:type="dxa"/>
              <w:bottom w:w="40" w:type="dxa"/>
              <w:right w:w="80" w:type="dxa"/>
            </w:tcMar>
          </w:tcPr>
          <w:p w14:paraId="78C5D0E9" w14:textId="77777777" w:rsidR="00BD56D6" w:rsidRDefault="00BD56D6" w:rsidP="00B0060C">
            <w:pPr>
              <w:jc w:val="center"/>
            </w:pPr>
            <w:r>
              <w:rPr>
                <w:rFonts w:ascii="Cambria Math" w:hAnsi="Cambria Math" w:cs="Cambria Math"/>
                <w:b/>
                <w:bCs/>
                <w:sz w:val="16"/>
                <w:szCs w:val="16"/>
              </w:rPr>
              <w:t>②</w:t>
            </w:r>
            <w:r>
              <w:rPr>
                <w:b/>
                <w:bCs/>
                <w:sz w:val="16"/>
                <w:szCs w:val="16"/>
              </w:rPr>
              <w:t xml:space="preserve"> Preprocessing</w:t>
            </w:r>
          </w:p>
        </w:tc>
        <w:tc>
          <w:tcPr>
            <w:tcW w:w="7360" w:type="dxa"/>
            <w:tcBorders>
              <w:top w:val="single" w:sz="1" w:space="0" w:color="BBBBBB"/>
              <w:left w:val="single" w:sz="1" w:space="0" w:color="BBBBBB"/>
              <w:bottom w:val="single" w:sz="1" w:space="0" w:color="BBBBBB"/>
              <w:right w:val="single" w:sz="1" w:space="0" w:color="BBBBBB"/>
            </w:tcBorders>
            <w:shd w:val="clear" w:color="auto" w:fill="F9F9F9"/>
            <w:tcMar>
              <w:top w:w="40" w:type="dxa"/>
              <w:left w:w="100" w:type="dxa"/>
              <w:bottom w:w="40" w:type="dxa"/>
              <w:right w:w="80" w:type="dxa"/>
            </w:tcMar>
          </w:tcPr>
          <w:p w14:paraId="57EC6664" w14:textId="77777777" w:rsidR="00BD56D6" w:rsidRDefault="00BD56D6" w:rsidP="00B0060C">
            <w:r>
              <w:rPr>
                <w:sz w:val="16"/>
                <w:szCs w:val="16"/>
              </w:rPr>
              <w:t>Min-max normalisation · 30-cycle sliding window · shared across all model modes</w:t>
            </w:r>
          </w:p>
        </w:tc>
      </w:tr>
      <w:tr w:rsidR="00BD56D6" w14:paraId="12CB7645" w14:textId="77777777" w:rsidTr="00B0060C">
        <w:trPr>
          <w:gridAfter w:val="1"/>
          <w:wAfter w:w="7360" w:type="dxa"/>
        </w:trPr>
        <w:tc>
          <w:tcPr>
            <w:tcW w:w="9360" w:type="dxa"/>
            <w:tcBorders>
              <w:top w:val="none" w:sz="0" w:space="0" w:color="FFFFFF"/>
              <w:left w:val="none" w:sz="0" w:space="0" w:color="FFFFFF"/>
              <w:bottom w:val="none" w:sz="0" w:space="0" w:color="FFFFFF"/>
              <w:right w:val="none" w:sz="0" w:space="0" w:color="FFFFFF"/>
            </w:tcBorders>
          </w:tcPr>
          <w:p w14:paraId="410909D8" w14:textId="77777777" w:rsidR="00BD56D6" w:rsidRDefault="00BD56D6" w:rsidP="00B0060C">
            <w:pPr>
              <w:jc w:val="center"/>
            </w:pPr>
            <w:r>
              <w:rPr>
                <w:color w:val="2E75B6"/>
                <w:sz w:val="16"/>
                <w:szCs w:val="16"/>
              </w:rPr>
              <w:t>↓</w:t>
            </w:r>
          </w:p>
        </w:tc>
      </w:tr>
      <w:tr w:rsidR="00BD56D6" w14:paraId="7423F315" w14:textId="77777777" w:rsidTr="00B0060C">
        <w:tc>
          <w:tcPr>
            <w:tcW w:w="2000" w:type="dxa"/>
            <w:tcBorders>
              <w:top w:val="single" w:sz="1" w:space="0" w:color="BBBBBB"/>
              <w:left w:val="single" w:sz="1" w:space="0" w:color="BBBBBB"/>
              <w:bottom w:val="single" w:sz="1" w:space="0" w:color="BBBBBB"/>
              <w:right w:val="single" w:sz="1" w:space="0" w:color="BBBBBB"/>
            </w:tcBorders>
            <w:shd w:val="clear" w:color="auto" w:fill="FFF2CC"/>
            <w:tcMar>
              <w:top w:w="40" w:type="dxa"/>
              <w:left w:w="80" w:type="dxa"/>
              <w:bottom w:w="40" w:type="dxa"/>
              <w:right w:w="80" w:type="dxa"/>
            </w:tcMar>
          </w:tcPr>
          <w:p w14:paraId="2284DD88" w14:textId="77777777" w:rsidR="00BD56D6" w:rsidRDefault="00BD56D6" w:rsidP="00B0060C">
            <w:pPr>
              <w:jc w:val="center"/>
            </w:pPr>
            <w:r>
              <w:rPr>
                <w:rFonts w:ascii="Cambria Math" w:hAnsi="Cambria Math" w:cs="Cambria Math"/>
                <w:b/>
                <w:bCs/>
                <w:sz w:val="16"/>
                <w:szCs w:val="16"/>
              </w:rPr>
              <w:t>③</w:t>
            </w:r>
            <w:r>
              <w:rPr>
                <w:b/>
                <w:bCs/>
                <w:sz w:val="16"/>
                <w:szCs w:val="16"/>
              </w:rPr>
              <w:t xml:space="preserve"> Model Inference</w:t>
            </w:r>
          </w:p>
        </w:tc>
        <w:tc>
          <w:tcPr>
            <w:tcW w:w="7360" w:type="dxa"/>
            <w:tcBorders>
              <w:top w:val="single" w:sz="1" w:space="0" w:color="BBBBBB"/>
              <w:left w:val="single" w:sz="1" w:space="0" w:color="BBBBBB"/>
              <w:bottom w:val="single" w:sz="1" w:space="0" w:color="BBBBBB"/>
              <w:right w:val="single" w:sz="1" w:space="0" w:color="BBBBBB"/>
            </w:tcBorders>
            <w:shd w:val="clear" w:color="auto" w:fill="F9F9F9"/>
            <w:tcMar>
              <w:top w:w="40" w:type="dxa"/>
              <w:left w:w="100" w:type="dxa"/>
              <w:bottom w:w="40" w:type="dxa"/>
              <w:right w:w="80" w:type="dxa"/>
            </w:tcMar>
          </w:tcPr>
          <w:p w14:paraId="5E33612D" w14:textId="77777777" w:rsidR="00BD56D6" w:rsidRDefault="00BD56D6" w:rsidP="00B0060C">
            <w:r>
              <w:rPr>
                <w:sz w:val="16"/>
                <w:szCs w:val="16"/>
              </w:rPr>
              <w:t xml:space="preserve">Baseline: attention-based </w:t>
            </w:r>
            <w:proofErr w:type="gramStart"/>
            <w:r>
              <w:rPr>
                <w:sz w:val="16"/>
                <w:szCs w:val="16"/>
              </w:rPr>
              <w:t>LSTM  |</w:t>
            </w:r>
            <w:proofErr w:type="gramEnd"/>
            <w:r>
              <w:rPr>
                <w:sz w:val="16"/>
                <w:szCs w:val="16"/>
              </w:rPr>
              <w:t xml:space="preserve">  Physics-Informed: adds degradation priors</w:t>
            </w:r>
          </w:p>
        </w:tc>
      </w:tr>
      <w:tr w:rsidR="00BD56D6" w14:paraId="58EA6A02" w14:textId="77777777" w:rsidTr="00B0060C">
        <w:trPr>
          <w:gridAfter w:val="1"/>
          <w:wAfter w:w="7360" w:type="dxa"/>
        </w:trPr>
        <w:tc>
          <w:tcPr>
            <w:tcW w:w="9360" w:type="dxa"/>
            <w:tcBorders>
              <w:top w:val="none" w:sz="0" w:space="0" w:color="FFFFFF"/>
              <w:left w:val="none" w:sz="0" w:space="0" w:color="FFFFFF"/>
              <w:bottom w:val="none" w:sz="0" w:space="0" w:color="FFFFFF"/>
              <w:right w:val="none" w:sz="0" w:space="0" w:color="FFFFFF"/>
            </w:tcBorders>
          </w:tcPr>
          <w:p w14:paraId="22315083" w14:textId="77777777" w:rsidR="00BD56D6" w:rsidRDefault="00BD56D6" w:rsidP="00B0060C">
            <w:pPr>
              <w:jc w:val="center"/>
            </w:pPr>
            <w:r>
              <w:rPr>
                <w:color w:val="2E75B6"/>
                <w:sz w:val="16"/>
                <w:szCs w:val="16"/>
              </w:rPr>
              <w:t>↓</w:t>
            </w:r>
          </w:p>
        </w:tc>
      </w:tr>
      <w:tr w:rsidR="00BD56D6" w14:paraId="24662A51" w14:textId="77777777" w:rsidTr="00B0060C">
        <w:tc>
          <w:tcPr>
            <w:tcW w:w="2000" w:type="dxa"/>
            <w:tcBorders>
              <w:top w:val="single" w:sz="1" w:space="0" w:color="BBBBBB"/>
              <w:left w:val="single" w:sz="1" w:space="0" w:color="BBBBBB"/>
              <w:bottom w:val="single" w:sz="1" w:space="0" w:color="BBBBBB"/>
              <w:right w:val="single" w:sz="1" w:space="0" w:color="BBBBBB"/>
            </w:tcBorders>
            <w:shd w:val="clear" w:color="auto" w:fill="FCE4D6"/>
            <w:tcMar>
              <w:top w:w="40" w:type="dxa"/>
              <w:left w:w="80" w:type="dxa"/>
              <w:bottom w:w="40" w:type="dxa"/>
              <w:right w:w="80" w:type="dxa"/>
            </w:tcMar>
          </w:tcPr>
          <w:p w14:paraId="33F1C650" w14:textId="77777777" w:rsidR="00BD56D6" w:rsidRDefault="00BD56D6" w:rsidP="00B0060C">
            <w:pPr>
              <w:jc w:val="center"/>
            </w:pPr>
            <w:r>
              <w:rPr>
                <w:rFonts w:ascii="Cambria Math" w:hAnsi="Cambria Math" w:cs="Cambria Math"/>
                <w:b/>
                <w:bCs/>
                <w:sz w:val="16"/>
                <w:szCs w:val="16"/>
              </w:rPr>
              <w:t>④</w:t>
            </w:r>
            <w:r>
              <w:rPr>
                <w:b/>
                <w:bCs/>
                <w:sz w:val="16"/>
                <w:szCs w:val="16"/>
              </w:rPr>
              <w:t xml:space="preserve"> RUL Prediction</w:t>
            </w:r>
          </w:p>
        </w:tc>
        <w:tc>
          <w:tcPr>
            <w:tcW w:w="7360" w:type="dxa"/>
            <w:tcBorders>
              <w:top w:val="single" w:sz="1" w:space="0" w:color="BBBBBB"/>
              <w:left w:val="single" w:sz="1" w:space="0" w:color="BBBBBB"/>
              <w:bottom w:val="single" w:sz="1" w:space="0" w:color="BBBBBB"/>
              <w:right w:val="single" w:sz="1" w:space="0" w:color="BBBBBB"/>
            </w:tcBorders>
            <w:shd w:val="clear" w:color="auto" w:fill="F9F9F9"/>
            <w:tcMar>
              <w:top w:w="40" w:type="dxa"/>
              <w:left w:w="100" w:type="dxa"/>
              <w:bottom w:w="40" w:type="dxa"/>
              <w:right w:w="80" w:type="dxa"/>
            </w:tcMar>
          </w:tcPr>
          <w:p w14:paraId="5D51C101" w14:textId="77777777" w:rsidR="00BD56D6" w:rsidRDefault="00BD56D6" w:rsidP="00B0060C">
            <w:r>
              <w:rPr>
                <w:sz w:val="16"/>
                <w:szCs w:val="16"/>
              </w:rPr>
              <w:t>Per-window RUL estimated → mean-aggregated per engine · raw output preserved</w:t>
            </w:r>
          </w:p>
        </w:tc>
      </w:tr>
      <w:tr w:rsidR="00BD56D6" w14:paraId="7D7F4191" w14:textId="77777777" w:rsidTr="00B0060C">
        <w:trPr>
          <w:gridAfter w:val="1"/>
          <w:wAfter w:w="7360" w:type="dxa"/>
        </w:trPr>
        <w:tc>
          <w:tcPr>
            <w:tcW w:w="9360" w:type="dxa"/>
            <w:tcBorders>
              <w:top w:val="none" w:sz="0" w:space="0" w:color="FFFFFF"/>
              <w:left w:val="none" w:sz="0" w:space="0" w:color="FFFFFF"/>
              <w:bottom w:val="none" w:sz="0" w:space="0" w:color="FFFFFF"/>
              <w:right w:val="none" w:sz="0" w:space="0" w:color="FFFFFF"/>
            </w:tcBorders>
          </w:tcPr>
          <w:p w14:paraId="7E722EED" w14:textId="77777777" w:rsidR="00BD56D6" w:rsidRDefault="00BD56D6" w:rsidP="00B0060C">
            <w:pPr>
              <w:jc w:val="center"/>
            </w:pPr>
            <w:r>
              <w:rPr>
                <w:color w:val="2E75B6"/>
                <w:sz w:val="16"/>
                <w:szCs w:val="16"/>
              </w:rPr>
              <w:t>↓</w:t>
            </w:r>
          </w:p>
        </w:tc>
      </w:tr>
      <w:tr w:rsidR="00BD56D6" w14:paraId="1899CAA5" w14:textId="77777777" w:rsidTr="00B0060C">
        <w:tc>
          <w:tcPr>
            <w:tcW w:w="2000" w:type="dxa"/>
            <w:tcBorders>
              <w:top w:val="single" w:sz="1" w:space="0" w:color="BBBBBB"/>
              <w:left w:val="single" w:sz="1" w:space="0" w:color="BBBBBB"/>
              <w:bottom w:val="single" w:sz="1" w:space="0" w:color="BBBBBB"/>
              <w:right w:val="single" w:sz="1" w:space="0" w:color="BBBBBB"/>
            </w:tcBorders>
            <w:shd w:val="clear" w:color="auto" w:fill="E2D9F3"/>
            <w:tcMar>
              <w:top w:w="40" w:type="dxa"/>
              <w:left w:w="80" w:type="dxa"/>
              <w:bottom w:w="40" w:type="dxa"/>
              <w:right w:w="80" w:type="dxa"/>
            </w:tcMar>
          </w:tcPr>
          <w:p w14:paraId="1603411A" w14:textId="77777777" w:rsidR="00BD56D6" w:rsidRDefault="00BD56D6" w:rsidP="00B0060C">
            <w:pPr>
              <w:jc w:val="center"/>
            </w:pPr>
            <w:r>
              <w:rPr>
                <w:rFonts w:ascii="Cambria Math" w:hAnsi="Cambria Math" w:cs="Cambria Math"/>
                <w:b/>
                <w:bCs/>
                <w:sz w:val="16"/>
                <w:szCs w:val="16"/>
              </w:rPr>
              <w:t>⑤</w:t>
            </w:r>
            <w:r>
              <w:rPr>
                <w:b/>
                <w:bCs/>
                <w:sz w:val="16"/>
                <w:szCs w:val="16"/>
              </w:rPr>
              <w:t xml:space="preserve"> Reliability Index</w:t>
            </w:r>
          </w:p>
        </w:tc>
        <w:tc>
          <w:tcPr>
            <w:tcW w:w="7360" w:type="dxa"/>
            <w:tcBorders>
              <w:top w:val="single" w:sz="1" w:space="0" w:color="BBBBBB"/>
              <w:left w:val="single" w:sz="1" w:space="0" w:color="BBBBBB"/>
              <w:bottom w:val="single" w:sz="1" w:space="0" w:color="BBBBBB"/>
              <w:right w:val="single" w:sz="1" w:space="0" w:color="BBBBBB"/>
            </w:tcBorders>
            <w:shd w:val="clear" w:color="auto" w:fill="F9F9F9"/>
            <w:tcMar>
              <w:top w:w="40" w:type="dxa"/>
              <w:left w:w="100" w:type="dxa"/>
              <w:bottom w:w="40" w:type="dxa"/>
              <w:right w:w="80" w:type="dxa"/>
            </w:tcMar>
          </w:tcPr>
          <w:p w14:paraId="15E54BCE" w14:textId="77777777" w:rsidR="00BD56D6" w:rsidRDefault="00BD56D6" w:rsidP="00B0060C">
            <w:r>
              <w:rPr>
                <w:sz w:val="16"/>
                <w:szCs w:val="16"/>
              </w:rPr>
              <w:t>Prediction consistency → RI score quantifying per-engine trustworthiness</w:t>
            </w:r>
          </w:p>
        </w:tc>
      </w:tr>
      <w:tr w:rsidR="00BD56D6" w14:paraId="1A57246C" w14:textId="77777777" w:rsidTr="00B0060C">
        <w:trPr>
          <w:gridAfter w:val="1"/>
          <w:wAfter w:w="7360" w:type="dxa"/>
        </w:trPr>
        <w:tc>
          <w:tcPr>
            <w:tcW w:w="9360" w:type="dxa"/>
            <w:tcBorders>
              <w:top w:val="none" w:sz="0" w:space="0" w:color="FFFFFF"/>
              <w:left w:val="none" w:sz="0" w:space="0" w:color="FFFFFF"/>
              <w:bottom w:val="none" w:sz="0" w:space="0" w:color="FFFFFF"/>
              <w:right w:val="none" w:sz="0" w:space="0" w:color="FFFFFF"/>
            </w:tcBorders>
          </w:tcPr>
          <w:p w14:paraId="5EFFE73E" w14:textId="77777777" w:rsidR="00BD56D6" w:rsidRDefault="00BD56D6" w:rsidP="00B0060C">
            <w:pPr>
              <w:jc w:val="center"/>
            </w:pPr>
            <w:r>
              <w:rPr>
                <w:color w:val="2E75B6"/>
                <w:sz w:val="16"/>
                <w:szCs w:val="16"/>
              </w:rPr>
              <w:t>↓</w:t>
            </w:r>
          </w:p>
        </w:tc>
      </w:tr>
      <w:tr w:rsidR="00BD56D6" w14:paraId="024C3966" w14:textId="77777777" w:rsidTr="00B0060C">
        <w:tc>
          <w:tcPr>
            <w:tcW w:w="2000" w:type="dxa"/>
            <w:tcBorders>
              <w:top w:val="single" w:sz="1" w:space="0" w:color="BBBBBB"/>
              <w:left w:val="single" w:sz="1" w:space="0" w:color="BBBBBB"/>
              <w:bottom w:val="single" w:sz="1" w:space="0" w:color="BBBBBB"/>
              <w:right w:val="single" w:sz="1" w:space="0" w:color="BBBBBB"/>
            </w:tcBorders>
            <w:shd w:val="clear" w:color="auto" w:fill="FDECEA"/>
            <w:tcMar>
              <w:top w:w="40" w:type="dxa"/>
              <w:left w:w="80" w:type="dxa"/>
              <w:bottom w:w="40" w:type="dxa"/>
              <w:right w:w="80" w:type="dxa"/>
            </w:tcMar>
          </w:tcPr>
          <w:p w14:paraId="1C1CF01E" w14:textId="77777777" w:rsidR="00BD56D6" w:rsidRDefault="00BD56D6" w:rsidP="00B0060C">
            <w:pPr>
              <w:jc w:val="center"/>
            </w:pPr>
            <w:r>
              <w:rPr>
                <w:rFonts w:ascii="Cambria Math" w:hAnsi="Cambria Math" w:cs="Cambria Math"/>
                <w:b/>
                <w:bCs/>
                <w:sz w:val="16"/>
                <w:szCs w:val="16"/>
              </w:rPr>
              <w:t>⑥</w:t>
            </w:r>
            <w:r>
              <w:rPr>
                <w:b/>
                <w:bCs/>
                <w:sz w:val="16"/>
                <w:szCs w:val="16"/>
              </w:rPr>
              <w:t xml:space="preserve"> Gating</w:t>
            </w:r>
          </w:p>
        </w:tc>
        <w:tc>
          <w:tcPr>
            <w:tcW w:w="7360" w:type="dxa"/>
            <w:tcBorders>
              <w:top w:val="single" w:sz="1" w:space="0" w:color="BBBBBB"/>
              <w:left w:val="single" w:sz="1" w:space="0" w:color="BBBBBB"/>
              <w:bottom w:val="single" w:sz="1" w:space="0" w:color="BBBBBB"/>
              <w:right w:val="single" w:sz="1" w:space="0" w:color="BBBBBB"/>
            </w:tcBorders>
            <w:shd w:val="clear" w:color="auto" w:fill="F9F9F9"/>
            <w:tcMar>
              <w:top w:w="40" w:type="dxa"/>
              <w:left w:w="100" w:type="dxa"/>
              <w:bottom w:w="40" w:type="dxa"/>
              <w:right w:w="80" w:type="dxa"/>
            </w:tcMar>
          </w:tcPr>
          <w:p w14:paraId="1D34812C" w14:textId="77777777" w:rsidR="00BD56D6" w:rsidRDefault="00BD56D6" w:rsidP="00B0060C">
            <w:r>
              <w:rPr>
                <w:sz w:val="16"/>
                <w:szCs w:val="16"/>
              </w:rPr>
              <w:t xml:space="preserve">ACCEPT (high </w:t>
            </w:r>
            <w:proofErr w:type="gramStart"/>
            <w:r>
              <w:rPr>
                <w:sz w:val="16"/>
                <w:szCs w:val="16"/>
              </w:rPr>
              <w:t>confidence)  ·</w:t>
            </w:r>
            <w:proofErr w:type="gramEnd"/>
            <w:r>
              <w:rPr>
                <w:sz w:val="16"/>
                <w:szCs w:val="16"/>
              </w:rPr>
              <w:t xml:space="preserve">  WARN (moderate </w:t>
            </w:r>
            <w:proofErr w:type="gramStart"/>
            <w:r>
              <w:rPr>
                <w:sz w:val="16"/>
                <w:szCs w:val="16"/>
              </w:rPr>
              <w:t>uncertainty)  ·</w:t>
            </w:r>
            <w:proofErr w:type="gramEnd"/>
            <w:r>
              <w:rPr>
                <w:sz w:val="16"/>
                <w:szCs w:val="16"/>
              </w:rPr>
              <w:t xml:space="preserve">  REJECT (low)</w:t>
            </w:r>
          </w:p>
        </w:tc>
      </w:tr>
      <w:tr w:rsidR="00BD56D6" w14:paraId="35B2EAD1" w14:textId="77777777" w:rsidTr="00B0060C">
        <w:trPr>
          <w:gridAfter w:val="1"/>
          <w:wAfter w:w="7360" w:type="dxa"/>
        </w:trPr>
        <w:tc>
          <w:tcPr>
            <w:tcW w:w="9360" w:type="dxa"/>
            <w:tcBorders>
              <w:top w:val="none" w:sz="0" w:space="0" w:color="FFFFFF"/>
              <w:left w:val="none" w:sz="0" w:space="0" w:color="FFFFFF"/>
              <w:bottom w:val="none" w:sz="0" w:space="0" w:color="FFFFFF"/>
              <w:right w:val="none" w:sz="0" w:space="0" w:color="FFFFFF"/>
            </w:tcBorders>
          </w:tcPr>
          <w:p w14:paraId="4142AB50" w14:textId="77777777" w:rsidR="00BD56D6" w:rsidRDefault="00BD56D6" w:rsidP="00B0060C">
            <w:pPr>
              <w:jc w:val="center"/>
            </w:pPr>
            <w:r>
              <w:rPr>
                <w:color w:val="2E75B6"/>
                <w:sz w:val="16"/>
                <w:szCs w:val="16"/>
              </w:rPr>
              <w:t>↓</w:t>
            </w:r>
          </w:p>
        </w:tc>
      </w:tr>
      <w:tr w:rsidR="00BD56D6" w14:paraId="0A801F8A" w14:textId="77777777" w:rsidTr="00B0060C">
        <w:tc>
          <w:tcPr>
            <w:tcW w:w="2000" w:type="dxa"/>
            <w:tcBorders>
              <w:top w:val="single" w:sz="1" w:space="0" w:color="BBBBBB"/>
              <w:left w:val="single" w:sz="1" w:space="0" w:color="BBBBBB"/>
              <w:bottom w:val="single" w:sz="1" w:space="0" w:color="BBBBBB"/>
              <w:right w:val="single" w:sz="1" w:space="0" w:color="BBBBBB"/>
            </w:tcBorders>
            <w:shd w:val="clear" w:color="auto" w:fill="D6E4F0"/>
            <w:tcMar>
              <w:top w:w="40" w:type="dxa"/>
              <w:left w:w="80" w:type="dxa"/>
              <w:bottom w:w="40" w:type="dxa"/>
              <w:right w:w="80" w:type="dxa"/>
            </w:tcMar>
          </w:tcPr>
          <w:p w14:paraId="2BE71ABC" w14:textId="77777777" w:rsidR="00BD56D6" w:rsidRDefault="00BD56D6" w:rsidP="00B0060C">
            <w:pPr>
              <w:jc w:val="center"/>
            </w:pPr>
            <w:r>
              <w:rPr>
                <w:rFonts w:ascii="Cambria Math" w:hAnsi="Cambria Math" w:cs="Cambria Math"/>
                <w:b/>
                <w:bCs/>
                <w:sz w:val="16"/>
                <w:szCs w:val="16"/>
              </w:rPr>
              <w:t>⑦</w:t>
            </w:r>
            <w:r>
              <w:rPr>
                <w:b/>
                <w:bCs/>
                <w:sz w:val="16"/>
                <w:szCs w:val="16"/>
              </w:rPr>
              <w:t xml:space="preserve"> Output Surface</w:t>
            </w:r>
          </w:p>
        </w:tc>
        <w:tc>
          <w:tcPr>
            <w:tcW w:w="7360" w:type="dxa"/>
            <w:tcBorders>
              <w:top w:val="single" w:sz="1" w:space="0" w:color="BBBBBB"/>
              <w:left w:val="single" w:sz="1" w:space="0" w:color="BBBBBB"/>
              <w:bottom w:val="single" w:sz="1" w:space="0" w:color="BBBBBB"/>
              <w:right w:val="single" w:sz="1" w:space="0" w:color="BBBBBB"/>
            </w:tcBorders>
            <w:shd w:val="clear" w:color="auto" w:fill="F9F9F9"/>
            <w:tcMar>
              <w:top w:w="40" w:type="dxa"/>
              <w:left w:w="100" w:type="dxa"/>
              <w:bottom w:w="40" w:type="dxa"/>
              <w:right w:w="80" w:type="dxa"/>
            </w:tcMar>
          </w:tcPr>
          <w:p w14:paraId="5BF96AB9" w14:textId="77777777" w:rsidR="00BD56D6" w:rsidRDefault="00BD56D6" w:rsidP="00B0060C">
            <w:proofErr w:type="spellStart"/>
            <w:r>
              <w:rPr>
                <w:sz w:val="16"/>
                <w:szCs w:val="16"/>
              </w:rPr>
              <w:t>Streamlit</w:t>
            </w:r>
            <w:proofErr w:type="spellEnd"/>
            <w:r>
              <w:rPr>
                <w:sz w:val="16"/>
                <w:szCs w:val="16"/>
              </w:rPr>
              <w:t xml:space="preserve"> dashboard · </w:t>
            </w:r>
            <w:proofErr w:type="spellStart"/>
            <w:r>
              <w:rPr>
                <w:sz w:val="16"/>
                <w:szCs w:val="16"/>
              </w:rPr>
              <w:t>FastAPI</w:t>
            </w:r>
            <w:proofErr w:type="spellEnd"/>
            <w:r>
              <w:rPr>
                <w:sz w:val="16"/>
                <w:szCs w:val="16"/>
              </w:rPr>
              <w:t xml:space="preserve"> REST · Headless CLI · </w:t>
            </w:r>
            <w:proofErr w:type="spellStart"/>
            <w:r>
              <w:rPr>
                <w:sz w:val="16"/>
                <w:szCs w:val="16"/>
              </w:rPr>
              <w:t>TFLite</w:t>
            </w:r>
            <w:proofErr w:type="spellEnd"/>
            <w:r>
              <w:rPr>
                <w:sz w:val="16"/>
                <w:szCs w:val="16"/>
              </w:rPr>
              <w:t xml:space="preserve"> edge export</w:t>
            </w:r>
          </w:p>
        </w:tc>
      </w:tr>
    </w:tbl>
    <w:p w14:paraId="14AA14A0" w14:textId="77777777" w:rsidR="00143A86" w:rsidRDefault="00143A86">
      <w:pPr>
        <w:spacing w:before="30" w:after="10"/>
      </w:pPr>
    </w:p>
    <w:p w14:paraId="5BE607DA" w14:textId="77777777" w:rsidR="00143A86" w:rsidRDefault="00000000">
      <w:pPr>
        <w:spacing w:before="40" w:after="80"/>
        <w:jc w:val="center"/>
      </w:pPr>
      <w:r>
        <w:rPr>
          <w:i/>
          <w:iCs/>
          <w:color w:val="666666"/>
          <w:sz w:val="17"/>
          <w:szCs w:val="17"/>
        </w:rPr>
        <w:t>Figure 1. End-to-end generative RUL prediction pipeline with physics constraints and post-prediction reliability gating</w:t>
      </w:r>
    </w:p>
    <w:p w14:paraId="22C82C36" w14:textId="77777777" w:rsidR="00143A86" w:rsidRDefault="00143A86">
      <w:pPr>
        <w:spacing w:before="60" w:after="40"/>
      </w:pPr>
    </w:p>
    <w:p w14:paraId="7454CA50" w14:textId="77777777" w:rsidR="00143A86" w:rsidRDefault="00000000">
      <w:pPr>
        <w:pStyle w:val="Heading1"/>
        <w:pBdr>
          <w:bottom w:val="single" w:sz="4" w:space="3" w:color="1F4E79"/>
        </w:pBdr>
      </w:pPr>
      <w:r>
        <w:t>4. Dataset Plan</w:t>
      </w:r>
    </w:p>
    <w:p w14:paraId="73E24FD4" w14:textId="77777777" w:rsidR="00143A86" w:rsidRDefault="00000000">
      <w:pPr>
        <w:pStyle w:val="Heading2"/>
      </w:pPr>
      <w:r>
        <w:t>Primary dataset: NASA C-MAPSS FD001</w:t>
      </w:r>
    </w:p>
    <w:p w14:paraId="4C1D6017" w14:textId="77777777" w:rsidR="00143A86" w:rsidRDefault="00000000">
      <w:pPr>
        <w:spacing w:after="70"/>
        <w:jc w:val="both"/>
      </w:pPr>
      <w:r>
        <w:t>Single operating condition, single fault mode (HPC degradation), 100 train / 100 test engine trajectories. Each run-to-failure trace provides 21 sensor channels and 3 operational settings per time cycle.</w:t>
      </w:r>
    </w:p>
    <w:p w14:paraId="1DFC37BC" w14:textId="77777777" w:rsidR="00143A86" w:rsidRDefault="00143A86">
      <w:pPr>
        <w:spacing w:before="4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745"/>
        <w:gridCol w:w="745"/>
        <w:gridCol w:w="1032"/>
        <w:gridCol w:w="869"/>
        <w:gridCol w:w="1132"/>
        <w:gridCol w:w="2764"/>
      </w:tblGrid>
      <w:tr w:rsidR="00143A86" w14:paraId="6A973FA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FF2F7EB" w14:textId="77777777" w:rsidR="00143A86" w:rsidRDefault="00000000">
            <w:r>
              <w:rPr>
                <w:b/>
                <w:bCs/>
                <w:color w:val="1F4E79"/>
                <w:sz w:val="17"/>
                <w:szCs w:val="17"/>
              </w:rPr>
              <w:t>Subset</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71DDD4B" w14:textId="77777777" w:rsidR="00143A86" w:rsidRDefault="00000000">
            <w:r>
              <w:rPr>
                <w:b/>
                <w:bCs/>
                <w:color w:val="1F4E79"/>
                <w:sz w:val="17"/>
                <w:szCs w:val="17"/>
              </w:rPr>
              <w:t>Train</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2FBF67E1" w14:textId="77777777" w:rsidR="00143A86" w:rsidRDefault="00000000">
            <w:r>
              <w:rPr>
                <w:b/>
                <w:bCs/>
                <w:color w:val="1F4E79"/>
                <w:sz w:val="17"/>
                <w:szCs w:val="17"/>
              </w:rPr>
              <w:t>Test</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D00F036" w14:textId="77777777" w:rsidR="00143A86" w:rsidRDefault="00000000">
            <w:r>
              <w:rPr>
                <w:b/>
                <w:bCs/>
                <w:color w:val="1F4E79"/>
                <w:sz w:val="17"/>
                <w:szCs w:val="17"/>
              </w:rPr>
              <w:t>Sensors</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080C40C8" w14:textId="77777777" w:rsidR="00143A86" w:rsidRDefault="00000000">
            <w:r>
              <w:rPr>
                <w:b/>
                <w:bCs/>
                <w:color w:val="1F4E79"/>
                <w:sz w:val="17"/>
                <w:szCs w:val="17"/>
              </w:rPr>
              <w:t>Op. Cond.</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591DE11E" w14:textId="77777777" w:rsidR="00143A86" w:rsidRDefault="00000000">
            <w:r>
              <w:rPr>
                <w:b/>
                <w:bCs/>
                <w:color w:val="1F4E79"/>
                <w:sz w:val="17"/>
                <w:szCs w:val="17"/>
              </w:rPr>
              <w:t>Fault</w:t>
            </w:r>
          </w:p>
        </w:tc>
        <w:tc>
          <w:tcPr>
            <w:tcW w:w="2226"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A521908" w14:textId="77777777" w:rsidR="00143A86" w:rsidRDefault="00000000">
            <w:r>
              <w:rPr>
                <w:b/>
                <w:bCs/>
                <w:color w:val="1F4E79"/>
                <w:sz w:val="17"/>
                <w:szCs w:val="17"/>
              </w:rPr>
              <w:t>Project Use</w:t>
            </w:r>
          </w:p>
        </w:tc>
      </w:tr>
      <w:tr w:rsidR="00143A86" w14:paraId="50C14E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715A75" w14:textId="77777777" w:rsidR="00143A86" w:rsidRDefault="00000000">
            <w:r>
              <w:rPr>
                <w:sz w:val="17"/>
                <w:szCs w:val="17"/>
              </w:rPr>
              <w:t>FD001 (primary)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A81936" w14:textId="77777777" w:rsidR="00143A86" w:rsidRDefault="00000000">
            <w:r>
              <w:rPr>
                <w:sz w:val="17"/>
                <w:szCs w:val="17"/>
              </w:rPr>
              <w:t>100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DC1D3C" w14:textId="77777777" w:rsidR="00143A86" w:rsidRDefault="00000000">
            <w:r>
              <w:rPr>
                <w:sz w:val="17"/>
                <w:szCs w:val="17"/>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5A60DC" w14:textId="77777777" w:rsidR="00143A86" w:rsidRDefault="00000000">
            <w:r>
              <w:rPr>
                <w:sz w:val="17"/>
                <w:szCs w:val="17"/>
              </w:rPr>
              <w:t>21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42BE80" w14:textId="77777777" w:rsidR="00143A86" w:rsidRDefault="00000000">
            <w:r>
              <w:rPr>
                <w:sz w:val="17"/>
                <w:szCs w:val="17"/>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930186" w14:textId="77777777" w:rsidR="00143A86" w:rsidRDefault="00000000">
            <w:r>
              <w:rPr>
                <w:sz w:val="17"/>
                <w:szCs w:val="17"/>
              </w:rPr>
              <w:t>HPC</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AE6765" w14:textId="77777777" w:rsidR="00143A86" w:rsidRDefault="00000000">
            <w:r>
              <w:rPr>
                <w:sz w:val="17"/>
                <w:szCs w:val="17"/>
              </w:rPr>
              <w:t>Training &amp; evaluation</w:t>
            </w:r>
          </w:p>
        </w:tc>
      </w:tr>
      <w:tr w:rsidR="00143A86" w14:paraId="299583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22FEC880" w14:textId="77777777" w:rsidR="00143A86" w:rsidRDefault="00000000">
            <w:r>
              <w:rPr>
                <w:sz w:val="17"/>
                <w:szCs w:val="17"/>
              </w:rPr>
              <w:t>FD002</w:t>
            </w:r>
          </w:p>
        </w:tc>
        <w:tc>
          <w:tcPr>
            <w:tcW w:w="6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235E9285" w14:textId="77777777" w:rsidR="00143A86" w:rsidRDefault="00000000">
            <w:r>
              <w:rPr>
                <w:sz w:val="17"/>
                <w:szCs w:val="17"/>
              </w:rPr>
              <w:t>260</w:t>
            </w:r>
          </w:p>
        </w:tc>
        <w:tc>
          <w:tcPr>
            <w:tcW w:w="6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7E27BEBF" w14:textId="77777777" w:rsidR="00143A86" w:rsidRDefault="00000000">
            <w:r>
              <w:rPr>
                <w:sz w:val="17"/>
                <w:szCs w:val="17"/>
              </w:rPr>
              <w:t>259</w:t>
            </w:r>
          </w:p>
        </w:tc>
        <w:tc>
          <w:tcPr>
            <w:tcW w:w="7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55CD9BB3" w14:textId="77777777" w:rsidR="00143A86" w:rsidRDefault="00000000">
            <w:r>
              <w:rPr>
                <w:sz w:val="17"/>
                <w:szCs w:val="17"/>
              </w:rPr>
              <w:t>21</w:t>
            </w:r>
          </w:p>
        </w:tc>
        <w:tc>
          <w:tcPr>
            <w:tcW w:w="7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4BDAF4AC" w14:textId="77777777" w:rsidR="00143A86" w:rsidRDefault="00000000">
            <w:r>
              <w:rPr>
                <w:sz w:val="17"/>
                <w:szCs w:val="17"/>
              </w:rPr>
              <w:t>6</w:t>
            </w:r>
          </w:p>
        </w:tc>
        <w:tc>
          <w:tcPr>
            <w:tcW w:w="8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29E951BD" w14:textId="77777777" w:rsidR="00143A86" w:rsidRDefault="00000000">
            <w:r>
              <w:rPr>
                <w:sz w:val="17"/>
                <w:szCs w:val="17"/>
              </w:rPr>
              <w:t>HPC</w:t>
            </w:r>
          </w:p>
        </w:tc>
        <w:tc>
          <w:tcPr>
            <w:tcW w:w="2226"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76F17EAC" w14:textId="77777777" w:rsidR="00143A86" w:rsidRDefault="00000000">
            <w:r>
              <w:rPr>
                <w:sz w:val="17"/>
                <w:szCs w:val="17"/>
              </w:rPr>
              <w:t>Multi-condition test</w:t>
            </w:r>
          </w:p>
        </w:tc>
      </w:tr>
      <w:tr w:rsidR="00143A86" w14:paraId="36A0C0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E17D84" w14:textId="77777777" w:rsidR="00143A86" w:rsidRDefault="00000000">
            <w:r>
              <w:rPr>
                <w:sz w:val="17"/>
                <w:szCs w:val="17"/>
              </w:rPr>
              <w:t>FD003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991282" w14:textId="77777777" w:rsidR="00143A86" w:rsidRDefault="00000000">
            <w:r>
              <w:rPr>
                <w:sz w:val="17"/>
                <w:szCs w:val="17"/>
              </w:rPr>
              <w:t>100</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67F21A" w14:textId="77777777" w:rsidR="00143A86" w:rsidRDefault="00000000">
            <w:r>
              <w:rPr>
                <w:sz w:val="17"/>
                <w:szCs w:val="17"/>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BF7FFF" w14:textId="77777777" w:rsidR="00143A86" w:rsidRDefault="00000000">
            <w:r>
              <w:rPr>
                <w:sz w:val="17"/>
                <w:szCs w:val="17"/>
              </w:rPr>
              <w:t>21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9E4E73" w14:textId="77777777" w:rsidR="00143A86" w:rsidRDefault="00000000">
            <w:r>
              <w:rPr>
                <w:sz w:val="17"/>
                <w:szCs w:val="17"/>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347282" w14:textId="77777777" w:rsidR="00143A86" w:rsidRDefault="00000000">
            <w:proofErr w:type="spellStart"/>
            <w:r>
              <w:rPr>
                <w:sz w:val="17"/>
                <w:szCs w:val="17"/>
              </w:rPr>
              <w:t>HPC+Fan</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19D22C" w14:textId="77777777" w:rsidR="00143A86" w:rsidRDefault="00000000">
            <w:r>
              <w:rPr>
                <w:sz w:val="17"/>
                <w:szCs w:val="17"/>
              </w:rPr>
              <w:t>Multi-fault eval.</w:t>
            </w:r>
          </w:p>
        </w:tc>
      </w:tr>
      <w:tr w:rsidR="00143A86" w14:paraId="154830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4FF35815" w14:textId="77777777" w:rsidR="00143A86" w:rsidRDefault="00000000">
            <w:r>
              <w:rPr>
                <w:sz w:val="17"/>
                <w:szCs w:val="17"/>
              </w:rPr>
              <w:t>FD004</w:t>
            </w:r>
          </w:p>
        </w:tc>
        <w:tc>
          <w:tcPr>
            <w:tcW w:w="6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4586F66B" w14:textId="77777777" w:rsidR="00143A86" w:rsidRDefault="00000000">
            <w:r>
              <w:rPr>
                <w:sz w:val="17"/>
                <w:szCs w:val="17"/>
              </w:rPr>
              <w:t>248</w:t>
            </w:r>
          </w:p>
        </w:tc>
        <w:tc>
          <w:tcPr>
            <w:tcW w:w="6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65A84A13" w14:textId="77777777" w:rsidR="00143A86" w:rsidRDefault="00000000">
            <w:r>
              <w:rPr>
                <w:sz w:val="17"/>
                <w:szCs w:val="17"/>
              </w:rPr>
              <w:t>249</w:t>
            </w:r>
          </w:p>
        </w:tc>
        <w:tc>
          <w:tcPr>
            <w:tcW w:w="7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042EA7A1" w14:textId="77777777" w:rsidR="00143A86" w:rsidRDefault="00000000">
            <w:r>
              <w:rPr>
                <w:sz w:val="17"/>
                <w:szCs w:val="17"/>
              </w:rPr>
              <w:t>21</w:t>
            </w:r>
          </w:p>
        </w:tc>
        <w:tc>
          <w:tcPr>
            <w:tcW w:w="7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0CE16E1C" w14:textId="77777777" w:rsidR="00143A86" w:rsidRDefault="00000000">
            <w:r>
              <w:rPr>
                <w:sz w:val="17"/>
                <w:szCs w:val="17"/>
              </w:rPr>
              <w:t>6</w:t>
            </w:r>
          </w:p>
        </w:tc>
        <w:tc>
          <w:tcPr>
            <w:tcW w:w="800"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3F49D880" w14:textId="77777777" w:rsidR="00143A86" w:rsidRDefault="00000000">
            <w:proofErr w:type="spellStart"/>
            <w:r>
              <w:rPr>
                <w:sz w:val="17"/>
                <w:szCs w:val="17"/>
              </w:rPr>
              <w:t>HPC+Fan</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F7F7F5"/>
            <w:tcMar>
              <w:top w:w="50" w:type="dxa"/>
              <w:left w:w="80" w:type="dxa"/>
              <w:bottom w:w="50" w:type="dxa"/>
              <w:right w:w="80" w:type="dxa"/>
            </w:tcMar>
          </w:tcPr>
          <w:p w14:paraId="0F038669" w14:textId="77777777" w:rsidR="00143A86" w:rsidRDefault="00000000">
            <w:r>
              <w:rPr>
                <w:sz w:val="17"/>
                <w:szCs w:val="17"/>
              </w:rPr>
              <w:t>Full complexity</w:t>
            </w:r>
          </w:p>
        </w:tc>
      </w:tr>
    </w:tbl>
    <w:p w14:paraId="0D850D54" w14:textId="77777777" w:rsidR="00143A86" w:rsidRDefault="00143A86">
      <w:pPr>
        <w:spacing w:before="30" w:after="10"/>
      </w:pPr>
    </w:p>
    <w:p w14:paraId="445D15B9" w14:textId="77777777" w:rsidR="00143A86" w:rsidRDefault="00000000">
      <w:pPr>
        <w:spacing w:before="40" w:after="80"/>
        <w:jc w:val="center"/>
      </w:pPr>
      <w:r>
        <w:rPr>
          <w:i/>
          <w:iCs/>
          <w:color w:val="666666"/>
          <w:sz w:val="17"/>
          <w:szCs w:val="17"/>
        </w:rPr>
        <w:t>Table 1. NASA C-MAPSS subsets and project usage allocation</w:t>
      </w:r>
    </w:p>
    <w:p w14:paraId="42173B9D" w14:textId="77777777" w:rsidR="00143A86" w:rsidRDefault="00143A86">
      <w:pPr>
        <w:spacing w:before="40" w:after="20"/>
      </w:pPr>
    </w:p>
    <w:p w14:paraId="1056D4F9" w14:textId="77777777" w:rsidR="00143A86" w:rsidRDefault="00000000">
      <w:pPr>
        <w:pStyle w:val="Heading2"/>
      </w:pPr>
      <w:r>
        <w:t>Preprocessing protocol</w:t>
      </w:r>
    </w:p>
    <w:p w14:paraId="6E350D40" w14:textId="77777777" w:rsidR="00143A86" w:rsidRDefault="00000000">
      <w:pPr>
        <w:pStyle w:val="ListParagraph"/>
        <w:numPr>
          <w:ilvl w:val="0"/>
          <w:numId w:val="2"/>
        </w:numPr>
        <w:spacing w:after="50"/>
      </w:pPr>
      <w:r>
        <w:t xml:space="preserve">RUL </w:t>
      </w:r>
      <w:proofErr w:type="spellStart"/>
      <w:r>
        <w:t>labeling</w:t>
      </w:r>
      <w:proofErr w:type="spellEnd"/>
      <w:r>
        <w:t>: piecewise linear with 125-cycle cap reflecting the stable early-life operating phase</w:t>
      </w:r>
    </w:p>
    <w:p w14:paraId="044A4451" w14:textId="77777777" w:rsidR="00143A86" w:rsidRDefault="00000000">
      <w:pPr>
        <w:pStyle w:val="ListParagraph"/>
        <w:numPr>
          <w:ilvl w:val="0"/>
          <w:numId w:val="2"/>
        </w:numPr>
        <w:spacing w:after="50"/>
      </w:pPr>
      <w:r>
        <w:t>Normalization: min-max per feature computed on training set; same parameters applied to test set</w:t>
      </w:r>
    </w:p>
    <w:p w14:paraId="302B98D7" w14:textId="77777777" w:rsidR="00143A86" w:rsidRDefault="00000000">
      <w:pPr>
        <w:pStyle w:val="ListParagraph"/>
        <w:numPr>
          <w:ilvl w:val="0"/>
          <w:numId w:val="2"/>
        </w:numPr>
        <w:spacing w:after="50"/>
      </w:pPr>
      <w:r>
        <w:t>Windowing: 30-cycle sliding window; early-cycle sequences zero-padded at the front</w:t>
      </w:r>
    </w:p>
    <w:p w14:paraId="1393398A" w14:textId="77777777" w:rsidR="00143A86" w:rsidRDefault="00000000">
      <w:pPr>
        <w:pStyle w:val="ListParagraph"/>
        <w:numPr>
          <w:ilvl w:val="0"/>
          <w:numId w:val="2"/>
        </w:numPr>
        <w:spacing w:after="50"/>
      </w:pPr>
      <w:r>
        <w:t>Sensor selection: near-zero variance sensors (s_1, s_5, s_6, s_10, s_16, s_18, s_19) excluded</w:t>
      </w:r>
    </w:p>
    <w:p w14:paraId="121316E9" w14:textId="77777777" w:rsidR="00143A86" w:rsidRDefault="00143A86">
      <w:pPr>
        <w:spacing w:before="40" w:after="20"/>
      </w:pPr>
    </w:p>
    <w:p w14:paraId="0162AFD5" w14:textId="77777777" w:rsidR="00143A86" w:rsidRDefault="00000000">
      <w:pPr>
        <w:pStyle w:val="Heading2"/>
      </w:pPr>
      <w:r>
        <w:t>Evaluation metrics &amp; validation</w:t>
      </w:r>
    </w:p>
    <w:p w14:paraId="420020EC" w14:textId="77777777" w:rsidR="00143A86" w:rsidRDefault="00000000">
      <w:pPr>
        <w:pStyle w:val="ListParagraph"/>
        <w:numPr>
          <w:ilvl w:val="0"/>
          <w:numId w:val="2"/>
        </w:numPr>
        <w:spacing w:after="50"/>
      </w:pPr>
      <w:r>
        <w:t>RMSE — symmetric deviation penalty on the FD001 test set</w:t>
      </w:r>
    </w:p>
    <w:p w14:paraId="19FBCD76" w14:textId="77777777" w:rsidR="00143A86" w:rsidRDefault="00000000">
      <w:pPr>
        <w:pStyle w:val="ListParagraph"/>
        <w:numPr>
          <w:ilvl w:val="0"/>
          <w:numId w:val="2"/>
        </w:numPr>
        <w:spacing w:after="50"/>
      </w:pPr>
      <w:r>
        <w:t>NASA score function — asymmetric, penalizing early predictions over late (reflects maintenance risk)</w:t>
      </w:r>
    </w:p>
    <w:p w14:paraId="6C05F0FF" w14:textId="77777777" w:rsidR="00143A86" w:rsidRDefault="00000000">
      <w:pPr>
        <w:pStyle w:val="ListParagraph"/>
        <w:numPr>
          <w:ilvl w:val="0"/>
          <w:numId w:val="2"/>
        </w:numPr>
        <w:spacing w:after="50"/>
      </w:pPr>
      <w:r>
        <w:t>RI acceptance rate — proportion of test engines receiving ACCEPT gate under calibrated thresholds</w:t>
      </w:r>
    </w:p>
    <w:p w14:paraId="3AFB4B44" w14:textId="77777777" w:rsidR="00143A86" w:rsidRDefault="00000000">
      <w:pPr>
        <w:pStyle w:val="ListParagraph"/>
        <w:numPr>
          <w:ilvl w:val="0"/>
          <w:numId w:val="2"/>
        </w:numPr>
        <w:spacing w:after="50"/>
      </w:pPr>
      <w:r>
        <w:t>Regression baselines stored at first validation run; checked by tests/test_inference_regression.py</w:t>
      </w:r>
    </w:p>
    <w:p w14:paraId="55834771" w14:textId="77777777" w:rsidR="00143A86" w:rsidRDefault="00000000">
      <w:pPr>
        <w:pStyle w:val="ListParagraph"/>
        <w:numPr>
          <w:ilvl w:val="0"/>
          <w:numId w:val="2"/>
        </w:numPr>
        <w:spacing w:after="50"/>
      </w:pPr>
      <w:r>
        <w:t xml:space="preserve">Optional </w:t>
      </w:r>
      <w:proofErr w:type="spellStart"/>
      <w:r>
        <w:t>LightGBM</w:t>
      </w:r>
      <w:proofErr w:type="spellEnd"/>
      <w:r>
        <w:t xml:space="preserve"> backend benchmarked via scripts/benchmark_model_backends.py before any promotion</w:t>
      </w:r>
    </w:p>
    <w:sectPr w:rsidR="00143A86">
      <w:headerReference w:type="default" r:id="rId7"/>
      <w:footerReference w:type="default" r:id="rId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C7112" w14:textId="77777777" w:rsidR="00CC47CE" w:rsidRDefault="00CC47CE">
      <w:r>
        <w:separator/>
      </w:r>
    </w:p>
  </w:endnote>
  <w:endnote w:type="continuationSeparator" w:id="0">
    <w:p w14:paraId="651DCFC7" w14:textId="77777777" w:rsidR="00CC47CE" w:rsidRDefault="00CC4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A834" w14:textId="7BF2D6B7" w:rsidR="00143A86" w:rsidRDefault="004867A9">
    <w:pPr>
      <w:pBdr>
        <w:top w:val="single" w:sz="2" w:space="3" w:color="CCCCCC"/>
      </w:pBdr>
      <w:tabs>
        <w:tab w:val="right" w:pos="9026"/>
      </w:tabs>
    </w:pPr>
    <w:proofErr w:type="spellStart"/>
    <w:r>
      <w:rPr>
        <w:color w:val="888888"/>
        <w:sz w:val="15"/>
        <w:szCs w:val="15"/>
      </w:rPr>
      <w:t>Dimpana</w:t>
    </w:r>
    <w:proofErr w:type="spellEnd"/>
    <w:r>
      <w:rPr>
        <w:color w:val="888888"/>
        <w:sz w:val="15"/>
        <w:szCs w:val="15"/>
      </w:rPr>
      <w:t xml:space="preserve"> P Jadhav &amp; Tanmay </w:t>
    </w:r>
    <w:proofErr w:type="gramStart"/>
    <w:r>
      <w:rPr>
        <w:color w:val="888888"/>
        <w:sz w:val="15"/>
        <w:szCs w:val="15"/>
      </w:rPr>
      <w:t>Anand</w:t>
    </w:r>
    <w:r w:rsidR="00000000">
      <w:rPr>
        <w:color w:val="888888"/>
        <w:sz w:val="15"/>
        <w:szCs w:val="15"/>
      </w:rPr>
      <w:t xml:space="preserve">  |</w:t>
    </w:r>
    <w:proofErr w:type="gramEnd"/>
    <w:r w:rsidR="00000000">
      <w:rPr>
        <w:color w:val="888888"/>
        <w:sz w:val="15"/>
        <w:szCs w:val="15"/>
      </w:rPr>
      <w:t xml:space="preserve">  BNM Institute of Technology, </w:t>
    </w:r>
    <w:proofErr w:type="gramStart"/>
    <w:r w:rsidR="00000000">
      <w:rPr>
        <w:color w:val="888888"/>
        <w:sz w:val="15"/>
        <w:szCs w:val="15"/>
      </w:rPr>
      <w:t xml:space="preserve">Bengaluru  </w:t>
    </w:r>
    <w:r w:rsidR="00000000">
      <w:rPr>
        <w:color w:val="888888"/>
        <w:sz w:val="15"/>
        <w:szCs w:val="15"/>
      </w:rPr>
      <w:tab/>
    </w:r>
    <w:proofErr w:type="gramEnd"/>
    <w:r w:rsidR="00000000">
      <w:rPr>
        <w:color w:val="888888"/>
        <w:sz w:val="15"/>
        <w:szCs w:val="15"/>
      </w:rPr>
      <w:fldChar w:fldCharType="begin"/>
    </w:r>
    <w:r w:rsidR="00000000">
      <w:rPr>
        <w:color w:val="888888"/>
        <w:sz w:val="15"/>
        <w:szCs w:val="15"/>
      </w:rPr>
      <w:instrText xml:space="preserve"> PAGE </w:instrText>
    </w:r>
    <w:r w:rsidR="00BD56D6">
      <w:rPr>
        <w:color w:val="888888"/>
        <w:sz w:val="15"/>
        <w:szCs w:val="15"/>
      </w:rPr>
      <w:fldChar w:fldCharType="separate"/>
    </w:r>
    <w:r w:rsidR="00BD56D6">
      <w:rPr>
        <w:noProof/>
        <w:color w:val="888888"/>
        <w:sz w:val="15"/>
        <w:szCs w:val="15"/>
      </w:rPr>
      <w:t>1</w:t>
    </w:r>
    <w:r w:rsidR="00000000">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FE6BE" w14:textId="77777777" w:rsidR="00CC47CE" w:rsidRDefault="00CC47CE">
      <w:r>
        <w:separator/>
      </w:r>
    </w:p>
  </w:footnote>
  <w:footnote w:type="continuationSeparator" w:id="0">
    <w:p w14:paraId="12E727AF" w14:textId="77777777" w:rsidR="00CC47CE" w:rsidRDefault="00CC4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A9AD" w14:textId="77777777" w:rsidR="00143A86" w:rsidRDefault="00000000">
    <w:pPr>
      <w:pBdr>
        <w:bottom w:val="single" w:sz="2" w:space="3" w:color="CCCCCC"/>
      </w:pBdr>
    </w:pPr>
    <w:r>
      <w:rPr>
        <w:color w:val="888888"/>
        <w:sz w:val="15"/>
        <w:szCs w:val="15"/>
      </w:rPr>
      <w:t xml:space="preserve">IEEE IES Generative AI Challenge </w:t>
    </w:r>
    <w:proofErr w:type="gramStart"/>
    <w:r>
      <w:rPr>
        <w:color w:val="888888"/>
        <w:sz w:val="15"/>
        <w:szCs w:val="15"/>
      </w:rPr>
      <w:t>2026  |</w:t>
    </w:r>
    <w:proofErr w:type="gramEnd"/>
    <w:r>
      <w:rPr>
        <w:color w:val="888888"/>
        <w:sz w:val="15"/>
        <w:szCs w:val="15"/>
      </w:rPr>
      <w:t xml:space="preserve">  Milestone 1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6F9C"/>
    <w:multiLevelType w:val="hybridMultilevel"/>
    <w:tmpl w:val="1AB03B56"/>
    <w:lvl w:ilvl="0" w:tplc="C40A6722">
      <w:start w:val="1"/>
      <w:numFmt w:val="bullet"/>
      <w:lvlText w:val="●"/>
      <w:lvlJc w:val="left"/>
      <w:pPr>
        <w:ind w:left="720" w:hanging="360"/>
      </w:pPr>
    </w:lvl>
    <w:lvl w:ilvl="1" w:tplc="2000F158">
      <w:start w:val="1"/>
      <w:numFmt w:val="bullet"/>
      <w:lvlText w:val="○"/>
      <w:lvlJc w:val="left"/>
      <w:pPr>
        <w:ind w:left="1440" w:hanging="360"/>
      </w:pPr>
    </w:lvl>
    <w:lvl w:ilvl="2" w:tplc="4FEECB6C">
      <w:start w:val="1"/>
      <w:numFmt w:val="bullet"/>
      <w:lvlText w:val="■"/>
      <w:lvlJc w:val="left"/>
      <w:pPr>
        <w:ind w:left="2160" w:hanging="360"/>
      </w:pPr>
    </w:lvl>
    <w:lvl w:ilvl="3" w:tplc="9B4EADE0">
      <w:start w:val="1"/>
      <w:numFmt w:val="bullet"/>
      <w:lvlText w:val="●"/>
      <w:lvlJc w:val="left"/>
      <w:pPr>
        <w:ind w:left="2880" w:hanging="360"/>
      </w:pPr>
    </w:lvl>
    <w:lvl w:ilvl="4" w:tplc="1910C0BE">
      <w:start w:val="1"/>
      <w:numFmt w:val="bullet"/>
      <w:lvlText w:val="○"/>
      <w:lvlJc w:val="left"/>
      <w:pPr>
        <w:ind w:left="3600" w:hanging="360"/>
      </w:pPr>
    </w:lvl>
    <w:lvl w:ilvl="5" w:tplc="DA1034C4">
      <w:start w:val="1"/>
      <w:numFmt w:val="bullet"/>
      <w:lvlText w:val="■"/>
      <w:lvlJc w:val="left"/>
      <w:pPr>
        <w:ind w:left="4320" w:hanging="360"/>
      </w:pPr>
    </w:lvl>
    <w:lvl w:ilvl="6" w:tplc="9FAE4780">
      <w:start w:val="1"/>
      <w:numFmt w:val="bullet"/>
      <w:lvlText w:val="●"/>
      <w:lvlJc w:val="left"/>
      <w:pPr>
        <w:ind w:left="5040" w:hanging="360"/>
      </w:pPr>
    </w:lvl>
    <w:lvl w:ilvl="7" w:tplc="518A7E06">
      <w:start w:val="1"/>
      <w:numFmt w:val="bullet"/>
      <w:lvlText w:val="●"/>
      <w:lvlJc w:val="left"/>
      <w:pPr>
        <w:ind w:left="5760" w:hanging="360"/>
      </w:pPr>
    </w:lvl>
    <w:lvl w:ilvl="8" w:tplc="25EAE500">
      <w:start w:val="1"/>
      <w:numFmt w:val="bullet"/>
      <w:lvlText w:val="●"/>
      <w:lvlJc w:val="left"/>
      <w:pPr>
        <w:ind w:left="6480" w:hanging="360"/>
      </w:pPr>
    </w:lvl>
  </w:abstractNum>
  <w:abstractNum w:abstractNumId="1" w15:restartNumberingAfterBreak="0">
    <w:nsid w:val="636B522B"/>
    <w:multiLevelType w:val="hybridMultilevel"/>
    <w:tmpl w:val="29308240"/>
    <w:lvl w:ilvl="0" w:tplc="3B4650B6">
      <w:start w:val="1"/>
      <w:numFmt w:val="bullet"/>
      <w:lvlText w:val="•"/>
      <w:lvlJc w:val="left"/>
      <w:pPr>
        <w:ind w:left="480" w:hanging="240"/>
      </w:pPr>
    </w:lvl>
    <w:lvl w:ilvl="1" w:tplc="E14CC724">
      <w:numFmt w:val="decimal"/>
      <w:lvlText w:val=""/>
      <w:lvlJc w:val="left"/>
      <w:pPr>
        <w:ind w:left="0" w:firstLine="0"/>
      </w:pPr>
    </w:lvl>
    <w:lvl w:ilvl="2" w:tplc="45AAEA60">
      <w:numFmt w:val="decimal"/>
      <w:lvlText w:val=""/>
      <w:lvlJc w:val="left"/>
      <w:pPr>
        <w:ind w:left="0" w:firstLine="0"/>
      </w:pPr>
    </w:lvl>
    <w:lvl w:ilvl="3" w:tplc="12F8182E">
      <w:numFmt w:val="decimal"/>
      <w:lvlText w:val=""/>
      <w:lvlJc w:val="left"/>
      <w:pPr>
        <w:ind w:left="0" w:firstLine="0"/>
      </w:pPr>
    </w:lvl>
    <w:lvl w:ilvl="4" w:tplc="0DA002A6">
      <w:numFmt w:val="decimal"/>
      <w:lvlText w:val=""/>
      <w:lvlJc w:val="left"/>
      <w:pPr>
        <w:ind w:left="0" w:firstLine="0"/>
      </w:pPr>
    </w:lvl>
    <w:lvl w:ilvl="5" w:tplc="0038A5D6">
      <w:numFmt w:val="decimal"/>
      <w:lvlText w:val=""/>
      <w:lvlJc w:val="left"/>
      <w:pPr>
        <w:ind w:left="0" w:firstLine="0"/>
      </w:pPr>
    </w:lvl>
    <w:lvl w:ilvl="6" w:tplc="7D222094">
      <w:numFmt w:val="decimal"/>
      <w:lvlText w:val=""/>
      <w:lvlJc w:val="left"/>
      <w:pPr>
        <w:ind w:left="0" w:firstLine="0"/>
      </w:pPr>
    </w:lvl>
    <w:lvl w:ilvl="7" w:tplc="4B5A22A6">
      <w:numFmt w:val="decimal"/>
      <w:lvlText w:val=""/>
      <w:lvlJc w:val="left"/>
      <w:pPr>
        <w:ind w:left="0" w:firstLine="0"/>
      </w:pPr>
    </w:lvl>
    <w:lvl w:ilvl="8" w:tplc="8F9CBAA6">
      <w:numFmt w:val="decimal"/>
      <w:lvlText w:val=""/>
      <w:lvlJc w:val="left"/>
      <w:pPr>
        <w:ind w:left="0" w:firstLine="0"/>
      </w:pPr>
    </w:lvl>
  </w:abstractNum>
  <w:abstractNum w:abstractNumId="2" w15:restartNumberingAfterBreak="0">
    <w:nsid w:val="74CE47ED"/>
    <w:multiLevelType w:val="hybridMultilevel"/>
    <w:tmpl w:val="10561772"/>
    <w:lvl w:ilvl="0" w:tplc="BDA88852">
      <w:start w:val="1"/>
      <w:numFmt w:val="bullet"/>
      <w:lvlText w:val="•"/>
      <w:lvlJc w:val="left"/>
      <w:pPr>
        <w:ind w:left="440" w:hanging="220"/>
      </w:pPr>
    </w:lvl>
    <w:lvl w:ilvl="1" w:tplc="41BADC82">
      <w:numFmt w:val="decimal"/>
      <w:lvlText w:val=""/>
      <w:lvlJc w:val="left"/>
    </w:lvl>
    <w:lvl w:ilvl="2" w:tplc="E6527898">
      <w:numFmt w:val="decimal"/>
      <w:lvlText w:val=""/>
      <w:lvlJc w:val="left"/>
    </w:lvl>
    <w:lvl w:ilvl="3" w:tplc="BACC9D6A">
      <w:numFmt w:val="decimal"/>
      <w:lvlText w:val=""/>
      <w:lvlJc w:val="left"/>
    </w:lvl>
    <w:lvl w:ilvl="4" w:tplc="5B42838A">
      <w:numFmt w:val="decimal"/>
      <w:lvlText w:val=""/>
      <w:lvlJc w:val="left"/>
    </w:lvl>
    <w:lvl w:ilvl="5" w:tplc="EB1C3450">
      <w:numFmt w:val="decimal"/>
      <w:lvlText w:val=""/>
      <w:lvlJc w:val="left"/>
    </w:lvl>
    <w:lvl w:ilvl="6" w:tplc="4990A6AC">
      <w:numFmt w:val="decimal"/>
      <w:lvlText w:val=""/>
      <w:lvlJc w:val="left"/>
    </w:lvl>
    <w:lvl w:ilvl="7" w:tplc="84702FC2">
      <w:numFmt w:val="decimal"/>
      <w:lvlText w:val=""/>
      <w:lvlJc w:val="left"/>
    </w:lvl>
    <w:lvl w:ilvl="8" w:tplc="81A05738">
      <w:numFmt w:val="decimal"/>
      <w:lvlText w:val=""/>
      <w:lvlJc w:val="left"/>
    </w:lvl>
  </w:abstractNum>
  <w:num w:numId="1" w16cid:durableId="845173264">
    <w:abstractNumId w:val="0"/>
    <w:lvlOverride w:ilvl="0">
      <w:startOverride w:val="1"/>
    </w:lvlOverride>
  </w:num>
  <w:num w:numId="2" w16cid:durableId="445394594">
    <w:abstractNumId w:val="2"/>
    <w:lvlOverride w:ilvl="0">
      <w:startOverride w:val="1"/>
    </w:lvlOverride>
  </w:num>
  <w:num w:numId="3" w16cid:durableId="164141895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A86"/>
    <w:rsid w:val="00143A86"/>
    <w:rsid w:val="00325FCA"/>
    <w:rsid w:val="004867A9"/>
    <w:rsid w:val="005D6BC5"/>
    <w:rsid w:val="00BD56D6"/>
    <w:rsid w:val="00CC47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FA3DC"/>
  <w15:docId w15:val="{940D7C88-02E0-403C-934D-A854F147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80"/>
      <w:outlineLvl w:val="0"/>
    </w:pPr>
    <w:rPr>
      <w:b/>
      <w:bCs/>
      <w:color w:val="1F4E79"/>
      <w:sz w:val="24"/>
      <w:szCs w:val="24"/>
    </w:rPr>
  </w:style>
  <w:style w:type="paragraph" w:styleId="Heading2">
    <w:name w:val="heading 2"/>
    <w:uiPriority w:val="9"/>
    <w:unhideWhenUsed/>
    <w:qFormat/>
    <w:pPr>
      <w:spacing w:before="120" w:after="60"/>
      <w:outlineLvl w:val="1"/>
    </w:pPr>
    <w:rPr>
      <w:b/>
      <w:bCs/>
      <w:color w:val="2E75B6"/>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867A9"/>
    <w:pPr>
      <w:tabs>
        <w:tab w:val="center" w:pos="4513"/>
        <w:tab w:val="right" w:pos="9026"/>
      </w:tabs>
    </w:pPr>
  </w:style>
  <w:style w:type="character" w:customStyle="1" w:styleId="HeaderChar">
    <w:name w:val="Header Char"/>
    <w:basedOn w:val="DefaultParagraphFont"/>
    <w:link w:val="Header"/>
    <w:uiPriority w:val="99"/>
    <w:rsid w:val="004867A9"/>
  </w:style>
  <w:style w:type="paragraph" w:styleId="Footer">
    <w:name w:val="footer"/>
    <w:basedOn w:val="Normal"/>
    <w:link w:val="FooterChar"/>
    <w:uiPriority w:val="99"/>
    <w:unhideWhenUsed/>
    <w:rsid w:val="004867A9"/>
    <w:pPr>
      <w:tabs>
        <w:tab w:val="center" w:pos="4513"/>
        <w:tab w:val="right" w:pos="9026"/>
      </w:tabs>
    </w:pPr>
  </w:style>
  <w:style w:type="character" w:customStyle="1" w:styleId="FooterChar">
    <w:name w:val="Footer Char"/>
    <w:basedOn w:val="DefaultParagraphFont"/>
    <w:link w:val="Footer"/>
    <w:uiPriority w:val="99"/>
    <w:rsid w:val="00486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1093</Words>
  <Characters>6233</Characters>
  <Application>Microsoft Office Word</Application>
  <DocSecurity>0</DocSecurity>
  <Lines>51</Lines>
  <Paragraphs>14</Paragraphs>
  <ScaleCrop>false</ScaleCrop>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Anand</cp:lastModifiedBy>
  <cp:revision>5</cp:revision>
  <dcterms:created xsi:type="dcterms:W3CDTF">2026-03-14T13:48:00Z</dcterms:created>
  <dcterms:modified xsi:type="dcterms:W3CDTF">2026-03-14T13:57:00Z</dcterms:modified>
</cp:coreProperties>
</file>