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Deep Learning and its application in computer vision report</w:t>
      </w:r>
    </w:p>
    <w:p w:rsidR="00000000" w:rsidDel="00000000" w:rsidP="00000000" w:rsidRDefault="00000000" w:rsidRPr="00000000" w14:paraId="00000002">
      <w:pPr>
        <w:spacing w:line="360" w:lineRule="auto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Requirement: </w:t>
      </w:r>
      <w:r w:rsidDel="00000000" w:rsidR="00000000" w:rsidRPr="00000000">
        <w:rPr>
          <w:sz w:val="20"/>
          <w:szCs w:val="20"/>
          <w:rtl w:val="0"/>
        </w:rPr>
        <w:t xml:space="preserve">The doctor</w:t>
      </w:r>
    </w:p>
    <w:p w:rsidR="00000000" w:rsidDel="00000000" w:rsidP="00000000" w:rsidRDefault="00000000" w:rsidRPr="00000000" w14:paraId="00000003">
      <w:pPr>
        <w:spacing w:line="360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881563" cy="365711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65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360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Newspaper: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https://openaccess.thecvf.com/content/CVPR2024/papers/Lee_Guided_Slot_Attention_for_Unsupervised_Video_Object_Segmentation_CVPR_2024_paper.pdf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360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https://github.com/Hydragon516/GSANet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Seminar section: </w:t>
      </w:r>
      <w:r w:rsidDel="00000000" w:rsidR="00000000" w:rsidRPr="00000000">
        <w:rPr>
          <w:sz w:val="20"/>
          <w:szCs w:val="20"/>
          <w:rtl w:val="0"/>
        </w:rPr>
        <w:t xml:space="preserve">30 minutes for presentation + demo and 30 minutes for Q&amp;A</w:t>
      </w:r>
    </w:p>
    <w:p w:rsidR="00000000" w:rsidDel="00000000" w:rsidP="00000000" w:rsidRDefault="00000000" w:rsidRPr="00000000" w14:paraId="00000008">
      <w:pPr>
        <w:spacing w:line="360" w:lineRule="auto"/>
        <w:jc w:val="left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 selected paper has to include the algorithm. It is not a type of survey or benchmark papers.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openaccess.thecvf.com/content/CVPR2024/papers/Lee_Guided_Slot_Attention_for_Unsupervised_Video_Object_Segmentation_CVPR_2024_paper.pdf" TargetMode="External"/><Relationship Id="rId8" Type="http://schemas.openxmlformats.org/officeDocument/2006/relationships/hyperlink" Target="https://github.com/Hydragon516/GSA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