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  <w:t xml:space="preserve">CS161: FUNDAMENTALS OF ARTIFICIAL INTELLIGENCE </w:t>
      </w:r>
    </w:p>
    <w:p>
      <w:pPr>
        <w:pStyle w:val="Heading 2"/>
        <w:jc w:val="center"/>
        <w:rPr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>Syllabus - Fall 2014</w:t>
      </w:r>
    </w:p>
    <w:p>
      <w:pPr>
        <w:pStyle w:val="Normal"/>
        <w:jc w:val="center"/>
      </w:pPr>
      <w:hyperlink r:id="rId4" w:history="1">
        <w:r>
          <w:rPr>
            <w:rStyle w:val="Hyperlink.0"/>
            <w:rFonts w:ascii="Helvetica" w:cs="Helvetica" w:hAnsi="Helvetica" w:eastAsia="Helvetica"/>
            <w:color w:val="386eff"/>
            <w:u w:val="single" w:color="386eff"/>
            <w:rtl w:val="0"/>
            <w:lang w:val="en-US"/>
          </w:rPr>
          <w:t>http://ccle.ucla.edu</w:t>
        </w:r>
      </w:hyperlink>
    </w:p>
    <w:p>
      <w:pPr>
        <w:pStyle w:val="Normal"/>
        <w:rPr>
          <w:color w:val="000000"/>
          <w:sz w:val="20"/>
          <w:szCs w:val="20"/>
          <w:u w:color="000000"/>
        </w:rPr>
      </w:pPr>
    </w:p>
    <w:p>
      <w:pPr>
        <w:pStyle w:val="Normal"/>
        <w:jc w:val="both"/>
        <w:rPr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Instructor: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Professor Adnan Darwiche, 4532D Boelter Hall, phone 310-206-5201, email </w:t>
      </w:r>
      <w:hyperlink r:id="rId5" w:history="1">
        <w:r>
          <w:rPr>
            <w:rStyle w:val="Hyperlink.1"/>
            <w:sz w:val="22"/>
            <w:szCs w:val="22"/>
            <w:rtl w:val="0"/>
            <w:lang w:val="en-US"/>
          </w:rPr>
          <w:t>darwiche@cs.ucla.edu</w:t>
        </w:r>
      </w:hyperlink>
      <w:r>
        <w:rPr>
          <w:color w:val="000000"/>
          <w:sz w:val="22"/>
          <w:szCs w:val="22"/>
          <w:u w:color="000000"/>
          <w:rtl w:val="0"/>
          <w:lang w:val="en-US"/>
        </w:rPr>
        <w:t>. Office Hours: 2:30-3:30pm Wednesday, or by appointment.</w:t>
      </w:r>
    </w:p>
    <w:p>
      <w:pPr>
        <w:pStyle w:val="Normal"/>
        <w:jc w:val="both"/>
        <w:rPr>
          <w:color w:val="000000"/>
          <w:sz w:val="22"/>
          <w:szCs w:val="22"/>
          <w:u w:color="000000"/>
        </w:rPr>
      </w:pP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Teaching Assistants</w:t>
      </w:r>
      <w:r>
        <w:rPr>
          <w:color w:val="000000"/>
          <w:sz w:val="22"/>
          <w:szCs w:val="22"/>
          <w:u w:color="000000"/>
          <w:rtl w:val="0"/>
          <w:lang w:val="en-US"/>
        </w:rPr>
        <w:t>: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</w:rPr>
        <w:tab/>
        <w:t>Doga Kisa (</w:t>
      </w:r>
      <w:r>
        <w:rPr>
          <w:color w:val="000000"/>
          <w:sz w:val="22"/>
          <w:szCs w:val="22"/>
          <w:u w:color="000000"/>
          <w:rtl w:val="0"/>
          <w:lang w:val="en-US"/>
        </w:rPr>
        <w:t>doga@ucla.edu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) and Umut Oztok (umut@ucla.edu). </w:t>
      </w:r>
    </w:p>
    <w:p>
      <w:pPr>
        <w:pStyle w:val="Normal"/>
        <w:jc w:val="both"/>
        <w:rPr>
          <w:color w:val="000000"/>
          <w:sz w:val="22"/>
          <w:szCs w:val="22"/>
          <w:u w:color="000000"/>
        </w:rPr>
      </w:pPr>
    </w:p>
    <w:p>
      <w:pPr>
        <w:pStyle w:val="Normal"/>
        <w:jc w:val="both"/>
        <w:rPr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Text: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“</w:t>
      </w:r>
      <w:r>
        <w:rPr>
          <w:color w:val="000000"/>
          <w:sz w:val="22"/>
          <w:szCs w:val="22"/>
          <w:u w:color="000000"/>
          <w:rtl w:val="0"/>
          <w:lang w:val="en-US"/>
        </w:rPr>
        <w:t>Artificial Intelligence: A Modern Approach,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” </w:t>
      </w:r>
      <w:r>
        <w:rPr>
          <w:color w:val="000000"/>
          <w:sz w:val="22"/>
          <w:szCs w:val="22"/>
          <w:u w:color="000000"/>
          <w:rtl w:val="0"/>
          <w:lang w:val="en-US"/>
        </w:rPr>
        <w:t>by S. Russell and P. Norvig, Prentice Hall, Third Edition, 2010.</w:t>
      </w:r>
    </w:p>
    <w:p>
      <w:pPr>
        <w:pStyle w:val="Normal"/>
        <w:jc w:val="both"/>
        <w:rPr>
          <w:color w:val="000000"/>
          <w:sz w:val="22"/>
          <w:szCs w:val="22"/>
          <w:u w:color="000000"/>
        </w:rPr>
      </w:pPr>
    </w:p>
    <w:p>
      <w:pPr>
        <w:pStyle w:val="Normal"/>
        <w:jc w:val="both"/>
        <w:rPr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Grading: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30% homework, 30% midterm, and 40% final.</w:t>
      </w:r>
    </w:p>
    <w:p>
      <w:pPr>
        <w:pStyle w:val="Normal"/>
        <w:rPr>
          <w:color w:val="000000"/>
          <w:sz w:val="22"/>
          <w:szCs w:val="22"/>
          <w:u w:color="000000"/>
        </w:rPr>
      </w:pPr>
    </w:p>
    <w:p>
      <w:pPr>
        <w:pStyle w:val="Normal"/>
        <w:jc w:val="both"/>
        <w:rPr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Assignments: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Weekly assignments, released usually on Thursday. Late work cannot be accepted. In exceptional circumstances, arrangements must be made in advance of the due date to obtain an extension.</w:t>
      </w:r>
    </w:p>
    <w:p>
      <w:pPr>
        <w:pStyle w:val="Normal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Normal"/>
        <w:rPr>
          <w:color w:val="000000"/>
          <w:sz w:val="22"/>
          <w:szCs w:val="22"/>
          <w:u w:color="000000"/>
        </w:rPr>
      </w:pP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Outline: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The outline below is tentative and subject to change.</w:t>
      </w:r>
    </w:p>
    <w:p>
      <w:pPr>
        <w:pStyle w:val="Normal"/>
        <w:rPr>
          <w:color w:val="000000"/>
          <w:sz w:val="22"/>
          <w:szCs w:val="22"/>
          <w:u w:color="000000"/>
        </w:rPr>
      </w:pP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1. Introduction to course, artificial intelligence, and LISP. Chapters 1-2.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2. LISP continued.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3. Problem solving as search. Chapter 3.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4. Systematic search strategies. Chapter 3.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5. Informed search strategies, local search. Chapters 3, 4.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6. Constraint satisfaction. Chapter 6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 xml:space="preserve">7. Game playing. Chapter 5. 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8. Propositional logic: Representation. Chapter 7.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9. Propositional logic: Inference. Chapter 7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10. First-order logic: Representation. Chapter 8.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 xml:space="preserve">11. Midterm exam.   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12. First-order logic: Inference I. Chapter 9.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13. First-order logic: Inference II. Chapter 9.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14. Reasoning under uncertainty. Chapter 13.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15. Belief networks: syntax and semantics. Chapter 14.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16. Belief networks:  Inference. Chapter 14.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17. Belief networks: Knowledge engineering.</w:t>
      </w:r>
    </w:p>
    <w:p>
      <w:pPr>
        <w:pStyle w:val="Normal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18. Learning I. Chapter 18.</w:t>
      </w:r>
    </w:p>
    <w:p>
      <w:pPr>
        <w:pStyle w:val="Normal"/>
      </w:pPr>
      <w:r>
        <w:rPr>
          <w:color w:val="000000"/>
          <w:sz w:val="22"/>
          <w:szCs w:val="22"/>
          <w:u w:color="000000"/>
          <w:rtl w:val="0"/>
          <w:lang w:val="en-US"/>
        </w:rPr>
        <w:t>19. Learning II. Chapter 20.</w:t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1"/>
      <w:bidi w:val="0"/>
      <w:spacing w:before="240" w:after="60" w:line="240" w:lineRule="auto"/>
      <w:ind w:left="432" w:right="0" w:hanging="432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1"/>
      <w:bidi w:val="0"/>
      <w:spacing w:before="240" w:after="60" w:line="240" w:lineRule="auto"/>
      <w:ind w:left="576" w:right="0" w:hanging="576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color w:val="386eff"/>
      <w:u w:val="single" w:color="386eff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ccle.ucla.edu/" TargetMode="External"/><Relationship Id="rId5" Type="http://schemas.openxmlformats.org/officeDocument/2006/relationships/hyperlink" Target="mailto:darwiche@cs.ucla.edu" TargetMode="External"/><Relationship Id="rId6" Type="http://schemas.openxmlformats.org/officeDocument/2006/relationships/header" Target="header.xml"/><Relationship Id="rId7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