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C057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1928" w:firstLineChars="60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  <w:t>电信客户流失数据分析及可视化</w:t>
      </w:r>
    </w:p>
    <w:p w14:paraId="58674AD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 团队成员组成及分工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225"/>
        <w:gridCol w:w="5095"/>
        <w:gridCol w:w="1026"/>
      </w:tblGrid>
      <w:tr w14:paraId="0CBF4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77BE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学号</w:t>
            </w:r>
          </w:p>
        </w:tc>
        <w:tc>
          <w:tcPr>
            <w:tcW w:w="122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EBA7B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509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0A06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详细任务分工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4FD5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工作量占比</w:t>
            </w:r>
          </w:p>
        </w:tc>
      </w:tr>
      <w:tr w14:paraId="6867C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E5487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25050603</w:t>
            </w:r>
          </w:p>
        </w:tc>
        <w:tc>
          <w:tcPr>
            <w:tcW w:w="12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A5A4C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夏涵欣</w:t>
            </w:r>
          </w:p>
        </w:tc>
        <w:tc>
          <w:tcPr>
            <w:tcW w:w="50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4A4B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项目整体架构设计、数据处理与清洗、机器学习模型构建与优化、报告撰写、数据可视化分析与图表制作、特征工程、模型评估与结果分析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84EE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A1D040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 项目开发环境</w:t>
      </w:r>
    </w:p>
    <w:p w14:paraId="7D11C50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开发工具：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Visual Studio Code / Jupyter Notebook</w:t>
      </w:r>
    </w:p>
    <w:p w14:paraId="0416DD0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开发语言：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Python 3.9+</w:t>
      </w:r>
    </w:p>
    <w:p w14:paraId="229917C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主要开发库：</w:t>
      </w:r>
    </w:p>
    <w:p w14:paraId="39F60C9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·数据处理：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Pandas、NumPy</w:t>
      </w:r>
    </w:p>
    <w:p w14:paraId="71131DD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·数据可视化：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Matplotlib、Seaborn、Pyecharts</w:t>
      </w:r>
    </w:p>
    <w:p w14:paraId="6EFCE6A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·机器学习：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Scikit-learn（Logistic Regression、Random Forest、SVM）、XGBoost、LightGBM</w:t>
      </w:r>
    </w:p>
    <w:p w14:paraId="25EFB71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·类别不平衡处理：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imbalanced-learn（SMOTE）</w:t>
      </w:r>
    </w:p>
    <w:p w14:paraId="08AE7F7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·模型可解释性：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SHAP</w:t>
      </w:r>
    </w:p>
    <w:p w14:paraId="2DA3140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超参数调优：GridSearchCV（Scikit-learn）</w:t>
      </w:r>
    </w:p>
    <w:p w14:paraId="76EB88B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 数据说明</w:t>
      </w:r>
    </w:p>
    <w:p w14:paraId="7815074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本项目采用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IBM Telco Customer Churn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数据集，该数据集是电信客户流失分析领域最广泛使用的基准数据集之一。</w:t>
      </w:r>
    </w:p>
    <w:p w14:paraId="2469263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Kaggle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平台（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blastchar/telco-customer-churn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12BE877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样本个数：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7,043条客户记录</w:t>
      </w:r>
    </w:p>
    <w:p w14:paraId="64F9F25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特征种类与数目：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共21个特征（含目标变量），可分为以下几类：</w:t>
      </w:r>
    </w:p>
    <w:p w14:paraId="10398F1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表1</w:t>
      </w:r>
    </w:p>
    <w:tbl>
      <w:tblPr>
        <w:tblStyle w:val="7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5492"/>
        <w:gridCol w:w="2335"/>
      </w:tblGrid>
      <w:tr w14:paraId="27044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3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9D7316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特征类别</w:t>
            </w:r>
          </w:p>
        </w:tc>
        <w:tc>
          <w:tcPr>
            <w:tcW w:w="549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0F4B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特征名称</w:t>
            </w:r>
          </w:p>
        </w:tc>
        <w:tc>
          <w:tcPr>
            <w:tcW w:w="233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48B4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6D0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E18E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客户ID</w:t>
            </w:r>
          </w:p>
        </w:tc>
        <w:tc>
          <w:tcPr>
            <w:tcW w:w="54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D8C1C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customerID</w:t>
            </w:r>
          </w:p>
        </w:tc>
        <w:tc>
          <w:tcPr>
            <w:tcW w:w="233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7DBA4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客户唯一标识</w:t>
            </w:r>
          </w:p>
        </w:tc>
      </w:tr>
      <w:tr w14:paraId="4166E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52BC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人口统计特征</w:t>
            </w:r>
          </w:p>
        </w:tc>
        <w:tc>
          <w:tcPr>
            <w:tcW w:w="54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4FE57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gender, SeniorCitizen, Partner, Dependents</w:t>
            </w:r>
          </w:p>
        </w:tc>
        <w:tc>
          <w:tcPr>
            <w:tcW w:w="233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1D24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性别、是否老年人、是否有伴侣、是否有家属</w:t>
            </w:r>
          </w:p>
        </w:tc>
      </w:tr>
      <w:tr w14:paraId="15973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F8DA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账户信息</w:t>
            </w:r>
          </w:p>
        </w:tc>
        <w:tc>
          <w:tcPr>
            <w:tcW w:w="54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1F89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tenure, Contract, PaperlessBilling, PaymentMethod, MonthlyCharges, TotalCharges</w:t>
            </w:r>
          </w:p>
        </w:tc>
        <w:tc>
          <w:tcPr>
            <w:tcW w:w="233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CF7EA6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在网时长、合同类型、是否电子账单、付款方式、月费用、总费用</w:t>
            </w:r>
          </w:p>
        </w:tc>
      </w:tr>
      <w:tr w14:paraId="2CDAB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E7E5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服务订阅</w:t>
            </w:r>
          </w:p>
        </w:tc>
        <w:tc>
          <w:tcPr>
            <w:tcW w:w="54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B427A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PhoneService, MultipleLines, InternetService, OnlineSecurity, OnlineBackup, DeviceProtection, TechSupport, StreamingTV, StreamingMovies</w:t>
            </w:r>
          </w:p>
        </w:tc>
        <w:tc>
          <w:tcPr>
            <w:tcW w:w="233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B4EC3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电话服务、多线路、互联网服务及各附加服务订阅情况</w:t>
            </w:r>
          </w:p>
        </w:tc>
      </w:tr>
      <w:tr w14:paraId="2F933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528C7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目标变量</w:t>
            </w:r>
          </w:p>
        </w:tc>
        <w:tc>
          <w:tcPr>
            <w:tcW w:w="54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F6D46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Churn</w:t>
            </w:r>
          </w:p>
        </w:tc>
        <w:tc>
          <w:tcPr>
            <w:tcW w:w="233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21F7D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是否流失（Yes/No）</w:t>
            </w:r>
          </w:p>
        </w:tc>
      </w:tr>
    </w:tbl>
    <w:p w14:paraId="1809DDA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该数据集为IBM提供的模拟电信公司数据，描述了加州7043名客户在第三季度的家庭电话和互联网服务使用情况。</w:t>
      </w:r>
    </w:p>
    <w:p w14:paraId="4734A66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 需求分析</w:t>
      </w:r>
    </w:p>
    <w:p w14:paraId="7B57474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 系统目标</w:t>
      </w:r>
    </w:p>
    <w:p w14:paraId="4D9416A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构建一个完整的电信客户流失数据分析与可视化系统，实现以下核心功能：</w:t>
      </w:r>
    </w:p>
    <w:p w14:paraId="44E5E78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数据预处理与清洗：处理缺失值、异常值，进行数据类型转换和特征编码</w:t>
      </w:r>
    </w:p>
    <w:p w14:paraId="07E637F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探索性数据分析（EDA） ：通过统计分析和可视化手段，揭示流失客户与留存客户的特征差异</w:t>
      </w:r>
    </w:p>
    <w:p w14:paraId="6B2E049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客户流失预测：基于多种机器学习模型构建流失预测模型，识别高流失风险客户</w:t>
      </w:r>
    </w:p>
    <w:p w14:paraId="7CDBFE9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流失原因分析：通过特征重要性分析和SHAP可解释性分析，揭示客户流失的关键驱动因素</w:t>
      </w:r>
    </w:p>
    <w:p w14:paraId="46E31A1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可视化展示：以直观的图表和仪表板呈现分析结果</w:t>
      </w:r>
    </w:p>
    <w:p w14:paraId="01B0881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 功能模块</w:t>
      </w:r>
    </w:p>
    <w:p w14:paraId="45BC43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电信客户流失数据分析系统</w:t>
      </w:r>
    </w:p>
    <w:p w14:paraId="37783FF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├── 数据预处理模块</w:t>
      </w:r>
    </w:p>
    <w:p w14:paraId="6A7CBDB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缺失值处理</w:t>
      </w:r>
    </w:p>
    <w:p w14:paraId="19D7074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数据类型转换</w:t>
      </w:r>
    </w:p>
    <w:p w14:paraId="454D6E1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└── 特征编码（Label Encoding / One-Hot Encoding）</w:t>
      </w:r>
    </w:p>
    <w:p w14:paraId="61C1FD8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├── 探索性分析模块</w:t>
      </w:r>
    </w:p>
    <w:p w14:paraId="542A690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流失率统计（饼图）</w:t>
      </w:r>
    </w:p>
    <w:p w14:paraId="03C8D07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单变量分析（分布图）</w:t>
      </w:r>
    </w:p>
    <w:p w14:paraId="53C8A20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双变量分析（流失率对比柱状图）</w:t>
      </w:r>
    </w:p>
    <w:p w14:paraId="1F590C9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└── 相关性分析（热力图）</w:t>
      </w:r>
    </w:p>
    <w:p w14:paraId="3572068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├── 特征工程模块</w:t>
      </w:r>
    </w:p>
    <w:p w14:paraId="077D669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特征选择（卡方检验 / 互信息）</w:t>
      </w:r>
    </w:p>
    <w:p w14:paraId="2A0F7E4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类别不平衡处理（SMOTE）</w:t>
      </w:r>
    </w:p>
    <w:p w14:paraId="3CC601E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└── 数据标准化/归一化</w:t>
      </w:r>
    </w:p>
    <w:p w14:paraId="45767C3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├── 模型训练与评估模块</w:t>
      </w:r>
    </w:p>
    <w:p w14:paraId="2723538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逻辑回归</w:t>
      </w:r>
    </w:p>
    <w:p w14:paraId="4124261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随机森林</w:t>
      </w:r>
    </w:p>
    <w:p w14:paraId="5D72B01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XGBoost</w:t>
      </w:r>
    </w:p>
    <w:p w14:paraId="1F7A965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├── LightGBM</w:t>
      </w:r>
    </w:p>
    <w:p w14:paraId="16244E9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└── 支持向量机（SVM）</w:t>
      </w:r>
    </w:p>
    <w:p w14:paraId="76D507A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├── 模型可解释性模块</w:t>
      </w:r>
    </w:p>
    <w:p w14:paraId="708C625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│   └── SHAP值分析</w:t>
      </w:r>
    </w:p>
    <w:p w14:paraId="1200C13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 xml:space="preserve">└── 可视化展示模块 </w:t>
      </w:r>
    </w:p>
    <w:p w14:paraId="16D5DFC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 xml:space="preserve">   ├── Matplotlib/Seaborn静态图表</w:t>
      </w:r>
    </w:p>
    <w:p w14:paraId="1DE239D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 xml:space="preserve">    └── Pyecharts交互式大屏</w:t>
      </w:r>
    </w:p>
    <w:p w14:paraId="28D7287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4.3 业务流程图</w:t>
      </w:r>
    </w:p>
    <w:p w14:paraId="1EC7F3B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400" w:lineRule="atLeas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[原始数据] → [数据清洗] → [EDA分析] → [特征工程] → [模型训练] → [模型评估] → [结果可视化]                 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↓              ↓              ↓              ↓               </w:t>
      </w:r>
    </w:p>
    <w:p w14:paraId="67DD625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0" w:afterAutospacing="0" w:line="400" w:lineRule="atLeast"/>
        <w:ind w:left="1606" w:leftChars="765" w:right="0" w:firstLine="0" w:firstLineChars="0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[缺失值处理] 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[流失率统计]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 [SMOTE平衡] 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[交叉验证]               [类型转换]  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[特征分布]  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[特征选择] 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 [超参数调优]             [编码处理] 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 [流失对比] 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 [标准化]   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  <w:t xml:space="preserve">  [SHAP分析]</w:t>
      </w:r>
    </w:p>
    <w:p w14:paraId="4B33E29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 系统设计和实现</w:t>
      </w:r>
    </w:p>
    <w:p w14:paraId="142B8D7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 数据预处理</w:t>
      </w:r>
    </w:p>
    <w:p w14:paraId="176155D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（1）数据加载与初步探索</w:t>
      </w:r>
    </w:p>
    <w:sdt>
      <w:sdtPr>
        <w:rPr>
          <w:rFonts w:hint="eastAsia" w:ascii="Consolas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7021"/>
        <w:placeholder>
          <w:docPart w:val="{fa1ec7cd-d920-45ce-804a-6501fe665cad}"/>
        </w:placeholder>
        <w15:appearance w15:val="hidden"/>
      </w:sdtPr>
      <w:sdtEndPr>
        <w:rPr>
          <w:rFonts w:hint="eastAsia" w:ascii="Consolas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117F3EF1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pandas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682AEF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as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pd</w:t>
          </w:r>
        </w:p>
        <w:p w14:paraId="62160179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numpy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682AEF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as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</w:p>
        <w:p w14:paraId="1BA56A31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D81F914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加载数据</w:t>
          </w:r>
        </w:p>
        <w:p w14:paraId="189E05FB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pd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read_csv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'WA_Fn-UseC_-Telco-Customer-Churn.csv'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5D1DB919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2B0B601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查看数据基本信息</w:t>
          </w:r>
        </w:p>
        <w:p w14:paraId="57110C8C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info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())</w:t>
          </w:r>
        </w:p>
        <w:p w14:paraId="085C8B36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0F111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describe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())</w:t>
          </w:r>
        </w:p>
      </w:sdtContent>
    </w:sdt>
    <w:p w14:paraId="36BF503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（2）缺失值处理</w:t>
      </w:r>
    </w:p>
    <w:p w14:paraId="482CDC0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TotalCharges列存在空白值（被识别为字符串类型），需要转换为数值类型并填充缺失值：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6560"/>
        <w:placeholder>
          <w:docPart w:val="{d8623941-99ae-4815-9d1a-cec25f06888f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3AD8F923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将TotalCharges转换为数值类型，无法转换的设为NaN</w:t>
          </w:r>
        </w:p>
        <w:p w14:paraId="41FBB30A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'TotalCharges'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to_numeric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'TotalCharges'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errors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'coerce'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36C7928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F8A528C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用中位数填充缺失值</w:t>
          </w:r>
        </w:p>
        <w:p w14:paraId="343C1CF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'TotalCharges'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fillna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'TotalCharges'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median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(),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inplace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6BF8005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（3）特征编码</w:t>
      </w:r>
    </w:p>
    <w:p w14:paraId="0604B55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将分类特征转换为数值型，便于机器学习模型处理：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6332"/>
        <w:placeholder>
          <w:docPart w:val="{d0490d2d-5883-480c-8fd6-3ca4f5d5e9c2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6FC9BF15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from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sklearn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preprocessing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LabelEncoder</w:t>
          </w:r>
        </w:p>
        <w:p w14:paraId="60135FCE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93FD193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对二分类特征进行Label Encoding</w:t>
          </w:r>
        </w:p>
        <w:p w14:paraId="1D1F502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binary_cols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'gender'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'Partner'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'Dependents'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'PhoneService'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</w:p>
        <w:p w14:paraId="73977C12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'PaperlessBilling'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'Churn'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]</w:t>
          </w:r>
        </w:p>
        <w:p w14:paraId="3C4A5E97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682AEF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col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binary_cols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762E246A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col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LabelEncoder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().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fit_transform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col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])</w:t>
          </w:r>
        </w:p>
        <w:p w14:paraId="1DBC8455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D282987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对多分类特征进行One-Hot Encoding</w:t>
          </w:r>
        </w:p>
        <w:p w14:paraId="78E329B1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get_dummies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columns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'MultipleLines'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'InternetService'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</w:p>
        <w:p w14:paraId="68CE4CA9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'OnlineSecurity'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'OnlineBackup'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'DeviceProtection'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C5E9FDB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'TechSupport'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'StreamingTV'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'StreamingMovies'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98EB00B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'Contract'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'PaymentMethod'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drop_first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52A5736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 探索性数据分析（EDA）</w:t>
      </w:r>
    </w:p>
    <w:p w14:paraId="584E464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（1）流失率分析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4"/>
          <w:shd w:val="clear"/>
          <w:lang w:val="en-US" w:eastAsia="zh-CN" w:bidi="ar"/>
        </w:rPr>
        <w:id w:val="147476263"/>
        <w:placeholder>
          <w:docPart w:val="{4047310b-e118-49a2-a0e8-8b883467a20d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383A42"/>
          <w:spacing w:val="0"/>
          <w:kern w:val="0"/>
          <w:sz w:val="21"/>
          <w:szCs w:val="24"/>
          <w:shd w:val="clear"/>
          <w:lang w:val="en-US" w:eastAsia="zh-CN" w:bidi="ar"/>
        </w:rPr>
      </w:sdtEndPr>
      <w:sdtContent>
        <w:p w14:paraId="21FBDD66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10" w:afterAutospacing="0" w:line="240" w:lineRule="auto"/>
            <w:ind w:left="420" w:leftChars="200" w:right="0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matplotlib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pyplot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682AEF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as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plt</w:t>
          </w:r>
        </w:p>
        <w:p w14:paraId="725A7454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10" w:afterAutospacing="0" w:line="240" w:lineRule="auto"/>
            <w:ind w:left="420" w:leftChars="200" w:right="0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seaborn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682AEF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as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sns</w:t>
          </w:r>
        </w:p>
        <w:p w14:paraId="2FD35986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10" w:afterAutospacing="0" w:line="240" w:lineRule="auto"/>
            <w:ind w:left="420" w:leftChars="200" w:right="0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</w:pPr>
        </w:p>
        <w:p w14:paraId="2407B6DA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10" w:afterAutospacing="0" w:line="240" w:lineRule="auto"/>
            <w:ind w:left="420" w:leftChars="200" w:right="0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# 流失率饼图</w:t>
          </w:r>
        </w:p>
        <w:p w14:paraId="65DEE8AC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10" w:afterAutospacing="0" w:line="240" w:lineRule="auto"/>
            <w:ind w:left="420" w:leftChars="200" w:right="0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churn_rate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'Churn'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].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value_counts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()</w:t>
          </w:r>
        </w:p>
        <w:p w14:paraId="1AF8EE68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10" w:afterAutospacing="0" w:line="240" w:lineRule="auto"/>
            <w:ind w:left="420" w:leftChars="200" w:right="0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plt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pie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churn_rate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labels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=[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'留存'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'流失'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 xml:space="preserve">],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autopct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'%1.1f%%'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)</w:t>
          </w:r>
        </w:p>
        <w:p w14:paraId="7FBACBB3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10" w:afterAutospacing="0" w:line="240" w:lineRule="auto"/>
            <w:ind w:left="420" w:leftChars="200" w:right="0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plt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title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'客户流失率分布'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)</w:t>
          </w:r>
        </w:p>
        <w:p w14:paraId="32AA92CE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10" w:afterAutospacing="0" w:line="240" w:lineRule="auto"/>
            <w:ind w:left="420" w:leftChars="200" w:right="0"/>
            <w:textAlignment w:val="auto"/>
            <w:rPr>
              <w:rFonts w:hint="eastAsia" w:ascii="Consolas" w:hAnsi="宋体" w:eastAsia="宋体" w:cs="宋体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plt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show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0"/>
              <w:sz w:val="21"/>
              <w:szCs w:val="24"/>
              <w:shd w:val="clear"/>
              <w:lang w:val="en-US" w:eastAsia="zh-CN" w:bidi="ar"/>
            </w:rPr>
            <w:t>()</w:t>
          </w:r>
        </w:p>
      </w:sdtContent>
    </w:sdt>
    <w:p w14:paraId="468940B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（2）关键特征与流失关系分析</w:t>
      </w:r>
    </w:p>
    <w:p w14:paraId="7981376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通过柱状图对比不同特征取值下的流失率，识别高风险群体：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6165"/>
        <w:placeholder>
          <w:docPart w:val="{3d257d7d-8e16-44b1-950d-8d70531e6bda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2A70ADE0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合同类型与流失率</w:t>
          </w:r>
        </w:p>
        <w:p w14:paraId="41DFD86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contract_churn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groupby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'Contract'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'Churn'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mean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()</w:t>
          </w:r>
        </w:p>
        <w:p w14:paraId="7096CFF1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contract_churn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plot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kind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'bar'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A130856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plt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title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'不同合同类型下的流失率'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D31DAF6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plt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xlabel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'合同类型'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E5AF17B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plt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ylabel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'流失率'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A333291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plt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show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()</w:t>
          </w:r>
        </w:p>
      </w:sdtContent>
    </w:sdt>
    <w:p w14:paraId="03A415F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（3）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相关性热力图</w:t>
      </w:r>
    </w:p>
    <w:sdt>
      <w:sdtPr>
        <w:rPr>
          <w:rFonts w:hint="eastAsia" w:ascii="Consolas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6093"/>
        <w:placeholder>
          <w:docPart w:val="{a212cf10-deb2-4278-9794-919ad8a25cef}"/>
        </w:placeholder>
        <w15:appearance w15:val="hidden"/>
      </w:sdtPr>
      <w:sdtEndPr>
        <w:rPr>
          <w:rFonts w:hint="eastAsia" w:ascii="Consolas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105B0AE7">
          <w:pPr>
            <w:pStyle w:val="6"/>
            <w:keepNext w:val="0"/>
            <w:keepLines w:val="0"/>
            <w:pageBreakBefore w:val="0"/>
            <w:widowControl/>
            <w:numPr>
              <w:ilvl w:val="0"/>
              <w:numId w:val="0"/>
            </w:numPr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rightChars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数值型特征相关性分析</w:t>
          </w:r>
        </w:p>
        <w:p w14:paraId="3761C88E">
          <w:pPr>
            <w:pStyle w:val="6"/>
            <w:keepNext w:val="0"/>
            <w:keepLines w:val="0"/>
            <w:pageBreakBefore w:val="0"/>
            <w:widowControl/>
            <w:numPr>
              <w:ilvl w:val="0"/>
              <w:numId w:val="0"/>
            </w:numPr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rightChars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numeric_cols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[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'tenure'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'MonthlyCharges'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'TotalCharges'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'Churn'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]</w:t>
          </w:r>
        </w:p>
        <w:p w14:paraId="72AA89D2">
          <w:pPr>
            <w:pStyle w:val="6"/>
            <w:keepNext w:val="0"/>
            <w:keepLines w:val="0"/>
            <w:pageBreakBefore w:val="0"/>
            <w:widowControl/>
            <w:numPr>
              <w:ilvl w:val="0"/>
              <w:numId w:val="0"/>
            </w:numPr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rightChars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plt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figure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figsize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=(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))</w:t>
          </w:r>
        </w:p>
        <w:p w14:paraId="48349C2B">
          <w:pPr>
            <w:pStyle w:val="6"/>
            <w:keepNext w:val="0"/>
            <w:keepLines w:val="0"/>
            <w:pageBreakBefore w:val="0"/>
            <w:widowControl/>
            <w:numPr>
              <w:ilvl w:val="0"/>
              <w:numId w:val="0"/>
            </w:numPr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rightChars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sns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heatmap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numeric_cols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corr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(),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annot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cmap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'coolwarm'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C2D19B0">
          <w:pPr>
            <w:pStyle w:val="6"/>
            <w:keepNext w:val="0"/>
            <w:keepLines w:val="0"/>
            <w:pageBreakBefore w:val="0"/>
            <w:widowControl/>
            <w:numPr>
              <w:ilvl w:val="0"/>
              <w:numId w:val="0"/>
            </w:numPr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rightChars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plt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title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'特征相关性热力图'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709F2440">
          <w:pPr>
            <w:pStyle w:val="6"/>
            <w:keepNext w:val="0"/>
            <w:keepLines w:val="0"/>
            <w:pageBreakBefore w:val="0"/>
            <w:widowControl/>
            <w:numPr>
              <w:ilvl w:val="0"/>
              <w:numId w:val="0"/>
            </w:numPr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rightChars="0"/>
            <w:jc w:val="left"/>
            <w:textAlignment w:val="auto"/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plt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show</w:t>
          </w:r>
          <w:r>
            <w:rPr>
              <w:rFonts w:hint="eastAsia" w:ascii="Consolas" w:hAnsi="宋体" w:eastAsia="宋体" w:cs="宋体"/>
              <w:b/>
              <w:bCs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()</w:t>
          </w:r>
        </w:p>
      </w:sdtContent>
    </w:sdt>
    <w:p w14:paraId="7748CF5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5.3 特征工程</w:t>
      </w:r>
    </w:p>
    <w:p w14:paraId="2025E02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（1）特征选择——卡方检验</w:t>
      </w:r>
    </w:p>
    <w:p w14:paraId="1B85A99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参考相关研究中的方法，采用卡方检验筛选对客户流失影响显著的特征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"https://wap.cnki.net/touch/web/Journal/Article/XDXK202510026.html"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6025"/>
        <w:placeholder>
          <w:docPart w:val="{d3414bb9-ee89-4a88-9d4b-6de790af0abb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51161BB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from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sklearn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feature_selection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SelectKBest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chi2</w:t>
          </w:r>
        </w:p>
        <w:p w14:paraId="304A265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883C39B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drop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'customerID'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'Churn'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axis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499D124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df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'Churn'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]</w:t>
          </w:r>
        </w:p>
        <w:p w14:paraId="076FFCEA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40EC932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卡方检验选择Top K特征</w:t>
          </w:r>
        </w:p>
        <w:p w14:paraId="2F582A9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selector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SelectKBest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chi2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15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6F1951B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X_selected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selector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fit_transform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2693BB9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selected_features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columns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selector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get_support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()]</w:t>
          </w:r>
        </w:p>
      </w:sdtContent>
    </w:sdt>
    <w:p w14:paraId="6966922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（2）类别不平衡处理</w:t>
      </w:r>
    </w:p>
    <w:p w14:paraId="11B77B8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由于流失客户仅占约26.5%，存在类别不平衡问题，采用SMOTE技术进行过采样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"https://www.nature.com/articles/s41598-025-30108-z?utm" \l "1"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"https://ieeexplore.ieee.org/abstract/document/11330530" \l "1"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5917"/>
        <w:placeholder>
          <w:docPart w:val="{bc86a7a3-bd79-4db0-a822-28be64c8db33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43CFE35E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from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imblearn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over_sampling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SMOTE</w:t>
          </w:r>
        </w:p>
        <w:p w14:paraId="1FA1118C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from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sklearn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model_selection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train_test_split</w:t>
          </w:r>
        </w:p>
        <w:p w14:paraId="0DE64D64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4B00292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X_train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train_test_split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</w:p>
        <w:p w14:paraId="651A4C02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X_selected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test_size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0.2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random_state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42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stratify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</w:p>
        <w:p w14:paraId="717DA118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CF6DEB1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74261B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smote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SMOTE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random_state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42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43B442C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smote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fit_resample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X_train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0FF4E98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5.4 模型构建与训练</w:t>
      </w:r>
    </w:p>
    <w:p w14:paraId="2D346E5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（1）逻辑回归</w:t>
      </w:r>
    </w:p>
    <w:p w14:paraId="11730FE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逻辑回归作为基线模型，具有良好的可解释性：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5848"/>
        <w:placeholder>
          <w:docPart w:val="{f85d2510-dbc8-4af2-835b-c6d7aa0b4b2b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6B505D3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from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sklearn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linear_model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LogisticRegression</w:t>
          </w:r>
        </w:p>
        <w:p w14:paraId="0BFC567E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5E6A15C1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LogisticRegression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max_iter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random_state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42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30A7807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fit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3D745029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y_pred_lr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predict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401A059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（2）随机森林</w:t>
      </w:r>
    </w:p>
    <w:p w14:paraId="18A6173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随机森林通过集成多棵决策树提升预测性能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"https://www.nature.com/articles/s41598-025-30108-z?utm" \l "1"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"https://onlinelibrary.wiley.com/doi/10.1155/acis/8496186?ContribAuthorRaw=Ayerko,+Emmanuel+Herson&amp;af=R&amp;content=articlesChapters&amp;mi=6e4y8xs&amp;target=default" \l "1"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5793"/>
        <w:placeholder>
          <w:docPart w:val="{c52026f2-2650-4454-8551-439ccd123b4c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44A19548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from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sklearn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ensemble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RandomForestClassifier</w:t>
          </w:r>
        </w:p>
        <w:p w14:paraId="5A5611B3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A9EE053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RandomForestClassifier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n_estimators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random_state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42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1BC917BA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fit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3507088B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y_pred_rf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rf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predict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72BDEF2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（3）XGBoost</w:t>
      </w:r>
    </w:p>
    <w:p w14:paraId="6F57A58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XGBoost作为一种高效的梯度提升算法，在流失预测任务中表现优异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"https://d.wanfangdata.com.cn/periodical/dnzsyjs-itrzyksb202434003"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5711"/>
        <w:placeholder>
          <w:docPart w:val="{f368b26d-d657-4093-8a73-f20ea4343717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1C45FDA7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xgboost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682AEF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as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xgb</w:t>
          </w:r>
        </w:p>
        <w:p w14:paraId="69F0CD5B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E78A738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xgb_model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xgb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XGBClassifier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</w:p>
        <w:p w14:paraId="32A796A9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n_estimators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2ED9A37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learning_rate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0.1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4C40642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max_depth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EA9A613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random_state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42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0E4263D5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scale_pos_weight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]) / </w:t>
          </w:r>
        </w:p>
        <w:p w14:paraId="10E793F7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    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])</w:t>
          </w:r>
        </w:p>
        <w:p w14:paraId="52D6EB0C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1A41E040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xgb_model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fit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y_train_balanced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C45A84E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y_pred_xgb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xgb_model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predict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1157C9A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5.5 模型超参数调优</w:t>
      </w:r>
    </w:p>
    <w:p w14:paraId="0665ED8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0"/>
        <w:textAlignment w:val="auto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为了进一步提升模型性能，本项目采用 GridSearchCV 结合 5 折交叉验证对每个模型进行超参数搜索。以 F1 分数作为优化目标，针对逻辑回归（C）、随机森林（n_estimators, max_depth）、XGBoost（learning_rate, max_depth, n_estimators）、LightGBM（learning_rate, num_leaves, n_estimators）、SVM（C, gamma）分别设置参数网格。通过遍历候选参数组合，选取交叉验证平均 F1 最高的组合作为最终模型参数。</w:t>
      </w:r>
    </w:p>
    <w:p w14:paraId="6BB67C8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</w:t>
      </w:r>
      <w:r>
        <w:rPr>
          <w:rFonts w:hint="eastAsia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模型可解释性——SHAP分析</w:t>
      </w:r>
    </w:p>
    <w:p w14:paraId="68698F2F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采用SHAP（Shapley Additive Explanations）分析模型预测结果，识别客户流失的关键驱动因素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"https://iaj.aktuaris.or.id/index.php/iaj/article/view/25"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"https://www.nature.com/articles/s41598-025-30108-z?utm" \l "1"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sdt>
      <w:sdt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  <w:id w:val="147475646"/>
        <w:placeholder>
          <w:docPart w:val="{15200019-6c54-454a-b1e6-e570941d67d0}"/>
        </w:placeholder>
        <w15:appearance w15:val="hidden"/>
      </w:sdtPr>
      <w:sdtEndPr>
        <w:rPr>
          <w:rFonts w:hint="eastAsia" w:ascii="Consolas" w:hAnsi="宋体" w:eastAsia="宋体" w:cs="宋体"/>
          <w:i w:val="0"/>
          <w:iCs w:val="0"/>
          <w:caps w:val="0"/>
          <w:color w:val="0F1115"/>
          <w:spacing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50FA223D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1E5FC7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shap</w:t>
          </w:r>
        </w:p>
        <w:p w14:paraId="1BC084D3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33DE36B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创建SHAP解释器</w:t>
          </w:r>
        </w:p>
        <w:p w14:paraId="6C948F05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explainer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shap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TreeExplainer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xgb_model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829FB58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shap_values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explainer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shap_values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4BBE76A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7009C24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特征重要性条形图</w:t>
          </w:r>
        </w:p>
        <w:p w14:paraId="003157E8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shap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summary_plot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shap_values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plot_type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C4820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"bar"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1AEFAE64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5A6E4B96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909090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# 特征影响分布图</w:t>
          </w:r>
        </w:p>
        <w:p w14:paraId="4C194C5C">
          <w:pPr>
            <w:pStyle w:val="6"/>
            <w:keepNext w:val="0"/>
            <w:keepLines w:val="0"/>
            <w:pageBreakBefore w:val="0"/>
            <w:widowControl/>
            <w:suppressLineNumbers w:val="0"/>
            <w:shd w:val="clear" w:fill="F5F5F5"/>
            <w:kinsoku/>
            <w:overflowPunct/>
            <w:topLinePunct w:val="0"/>
            <w:autoSpaceDE/>
            <w:autoSpaceDN/>
            <w:bidi w:val="0"/>
            <w:adjustRightInd/>
            <w:snapToGrid/>
            <w:spacing w:before="160" w:beforeAutospacing="0" w:after="160" w:afterAutospacing="0" w:line="240" w:lineRule="auto"/>
            <w:ind w:left="420" w:leftChars="200" w:right="0" w:firstLine="0"/>
            <w:jc w:val="left"/>
            <w:textAlignment w:val="auto"/>
            <w:rPr>
              <w:rFonts w:hint="eastAsia" w:ascii="Consolas" w:hAnsi="宋体" w:eastAsia="宋体" w:cs="宋体"/>
              <w:i w:val="0"/>
              <w:iCs w:val="0"/>
              <w:caps w:val="0"/>
              <w:color w:val="0F1115"/>
              <w:spacing w:val="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shap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summary_plot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shap_values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BB2726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X_test</w:t>
          </w:r>
          <w:r>
            <w:rPr>
              <w:rFonts w:hint="eastAsia" w:ascii="Consolas" w:hAnsi="宋体" w:eastAsia="宋体" w:cs="宋体"/>
              <w:i w:val="0"/>
              <w:iCs w:val="0"/>
              <w:caps w:val="0"/>
              <w:color w:val="252525"/>
              <w:spacing w:val="0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7352FB0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 结果分析</w:t>
      </w:r>
    </w:p>
    <w:p w14:paraId="4BB4E47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6.1 探索性数据分析结果</w:t>
      </w:r>
    </w:p>
    <w:p w14:paraId="1798983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（1）流失率概况</w:t>
      </w:r>
    </w:p>
    <w:p w14:paraId="11BC4C2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数据分析显示，数据集中流失客户占比约为26.5%，留存客户占比约为73.5%。这一比例与电信行业普遍面临的客户流失挑战相符——年度流失率通常在30-35%范围内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"https://ieeexplore.ieee.org/abstract/document/11327024/similar" \l "similar#1"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8F53E3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889000</wp:posOffset>
            </wp:positionH>
            <wp:positionV relativeFrom="paragraph">
              <wp:posOffset>116840</wp:posOffset>
            </wp:positionV>
            <wp:extent cx="3030855" cy="2809240"/>
            <wp:effectExtent l="0" t="0" r="0" b="10160"/>
            <wp:wrapSquare wrapText="bothSides"/>
            <wp:docPr id="3" name="图片 3" descr="churn_rate_p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urn_rate_pie"/>
                    <pic:cNvPicPr>
                      <a:picLocks noChangeAspect="1"/>
                    </pic:cNvPicPr>
                  </pic:nvPicPr>
                  <pic:blipFill>
                    <a:blip r:embed="rId4"/>
                    <a:srcRect t="441" r="-1375" b="9223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7985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7D0237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A8EF39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0F54C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A7FB81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11A0F0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1A0075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CB4D0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91EB4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3120" w:firstLineChars="13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图1：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流失率饼图</w:t>
      </w:r>
    </w:p>
    <w:p w14:paraId="26BE7EB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（2）关键流失驱动因素</w:t>
      </w:r>
    </w:p>
    <w:p w14:paraId="02F7CB4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通过单变量和双变量分析，发现以下因素与客户流失显著相关：</w:t>
      </w:r>
    </w:p>
    <w:p w14:paraId="7B797C8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·在网时长（Tenure）：在网时间越短的客户流失率越高。新客户（在网1-2个月）的流失率超过40%，而在网超过5年的客户流失率低于15%。</w:t>
      </w:r>
    </w:p>
    <w:p w14:paraId="710FB42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·合同类型（Contract）：月度合同客户的流失率远高于一年期和两年期合同客户，月度合同流失率超过40%，而两年期合同流失率低于20%。</w:t>
      </w:r>
    </w:p>
    <w:p w14:paraId="46A2A11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·付款方式（PaymentMethod）：使用电子支票付款的客户流失率最高。</w:t>
      </w:r>
    </w:p>
    <w:p w14:paraId="06F6C1E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·月费用（MonthlyCharges）：月费用较高的客户流失倾向更明显。</w:t>
      </w:r>
    </w:p>
    <w:p w14:paraId="25EA0AD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·附加服务订阅：未订阅在线安全、技术支持等增值服务的客户流失率更高。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 </w:t>
      </w:r>
    </w:p>
    <w:p w14:paraId="2BEDB48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（3）相关性分析</w:t>
      </w:r>
    </w:p>
    <w:p w14:paraId="5B5419B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相关性热力图显示，在网时长与总费用呈正相关（在网越久总费用越高），而与月费用呈弱负相关。流失状态与在网时长呈较强的负相关，与合同类型和月费用呈正相关。</w:t>
      </w:r>
    </w:p>
    <w:p w14:paraId="5AF4A7E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85105" cy="4478655"/>
            <wp:effectExtent l="0" t="0" r="0" b="0"/>
            <wp:docPr id="4" name="图片 4" descr="correlation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orrelation_heatmap"/>
                    <pic:cNvPicPr>
                      <a:picLocks noChangeAspect="1"/>
                    </pic:cNvPicPr>
                  </pic:nvPicPr>
                  <pic:blipFill>
                    <a:blip r:embed="rId5"/>
                    <a:srcRect t="3871" r="-253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197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   图2：数值特征相关性热力图</w:t>
      </w:r>
    </w:p>
    <w:p w14:paraId="7A562AFF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（4）连续特征分布差异  </w:t>
      </w:r>
    </w:p>
    <w:p w14:paraId="3EE736D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-1009650</wp:posOffset>
            </wp:positionH>
            <wp:positionV relativeFrom="paragraph">
              <wp:posOffset>1109980</wp:posOffset>
            </wp:positionV>
            <wp:extent cx="7313295" cy="1908175"/>
            <wp:effectExtent l="0" t="0" r="0" b="0"/>
            <wp:wrapTight wrapText="bothSides">
              <wp:wrapPolygon>
                <wp:start x="0" y="0"/>
                <wp:lineTo x="0" y="21420"/>
                <wp:lineTo x="21568" y="21420"/>
                <wp:lineTo x="21568" y="0"/>
                <wp:lineTo x="0" y="0"/>
              </wp:wrapPolygon>
            </wp:wrapTight>
            <wp:docPr id="1" name="图片 1" descr="boxplots_ch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oxplots_chur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329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通过箱线图（图 2-1 至图 2-3）对比流失与留存客户在在网时长、月费用和总费用上的分布。结果显示：流失客户的在网时长明显偏短（中位数约 10 个月），留存客户在网时长中位数超过 50 个月；月费用方面，流失客户的月费用分布略高于留存客户，但两组差异不如在网时长显著。</w:t>
      </w:r>
    </w:p>
    <w:p w14:paraId="77B43A9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     图3：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流失与留存客户连续特征分布对比</w:t>
      </w:r>
    </w:p>
    <w:p w14:paraId="7652C5D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leftChars="0" w:right="0" w:rightChars="0" w:firstLine="0" w:firstLineChars="0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5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）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分类特征流失率差异  </w:t>
      </w:r>
    </w:p>
    <w:p w14:paraId="2B72DEE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不同合同类型下，月度合同客户的流失率超过 40%，而一年期和两年期合同流失率分别约为 20% 和 15%；付款方式中，电子支票支付者的流失率最高（约 45%），信用卡自动扣款用户流失率最低；光纤互联网用户的流失率明显高于 DSL 用户。</w:t>
      </w:r>
      <w:r>
        <w:rPr>
          <w:rFonts w:hint="eastAsia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</w:t>
      </w:r>
    </w:p>
    <w:p w14:paraId="38156E4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-1062990</wp:posOffset>
            </wp:positionH>
            <wp:positionV relativeFrom="paragraph">
              <wp:posOffset>10160</wp:posOffset>
            </wp:positionV>
            <wp:extent cx="7412990" cy="1939925"/>
            <wp:effectExtent l="0" t="0" r="3810" b="3175"/>
            <wp:wrapTopAndBottom/>
            <wp:docPr id="2" name="图片 2" descr="categorical_ch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tegorical_chur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图4：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不同分类特征下的流失率对比</w:t>
      </w:r>
    </w:p>
    <w:p w14:paraId="032B118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leftChars="0" w:right="0" w:righ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（6）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客户聚类分析</w:t>
      </w:r>
    </w:p>
    <w:p w14:paraId="617541F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leftChars="0" w:right="0" w:rightChars="0" w:firstLine="0" w:firstLineChars="0"/>
        <w:textAlignment w:val="auto"/>
        <w:outlineLvl w:val="2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为进一步理解客户群体的内在结构，本项目采用 KMeans 聚类算法对客户进行分群分析。选取在网时长（tenure）、月费用（MonthlyCharges）、总费用（TotalCharges）和是否老年公民（SeniorCitizen）四个数值特征，经标准化处理后进行聚类，聚类数设为 3。为直观展示聚类结果，使用 PCA 将高维特征降维至二维平面进行可视化。</w:t>
      </w:r>
    </w:p>
    <w:p w14:paraId="760C4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33020</wp:posOffset>
            </wp:positionV>
            <wp:extent cx="5274310" cy="4290060"/>
            <wp:effectExtent l="0" t="0" r="8890" b="2540"/>
            <wp:wrapTopAndBottom/>
            <wp:docPr id="11" name="图片 11" descr="customer_clu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ustomer_cluster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4A8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图5：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KMeans客户分群可视化（PCA降维）</w:t>
      </w:r>
    </w:p>
    <w:p w14:paraId="261F2C5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如图 5 所示，三个聚类在降维空间中呈现较为清晰的分离态势。结合各聚类中心特征值分析可知：</w:t>
      </w:r>
    </w:p>
    <w:p w14:paraId="00DCEE0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·聚类 0（红色）：在网时长较短、月费用中等偏低，主要为新入网用户，流失风险相对较高；</w:t>
      </w:r>
    </w:p>
    <w:p w14:paraId="417D5BC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·聚类 1（绿色）：在网时长中等、月费用偏高，多为光纤网络高消费用户，价格敏感度较高；</w:t>
      </w:r>
    </w:p>
    <w:p w14:paraId="7527CEC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·聚类 2（蓝色）：在网时长较长、总费用较高，主要为长期忠诚客户，月费用分布较广，但整体流失风险最低。</w:t>
      </w:r>
    </w:p>
    <w:p w14:paraId="4BD91BC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该聚类结果与前述 EDA 分析结论相互印证：在网时长较短的新客户和高月费用的光纤用户是流失的高风险群体，而长期客户稳定性显著更强。运营商可针对不同群体制定差异化的挽留策略——对新客户加强 onboarding 引导和早期关怀，对高费用用户提供增值服务包或优惠方案以提升粘性。</w:t>
      </w:r>
    </w:p>
    <w:p w14:paraId="7E50333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6.2 模型评估结果</w:t>
      </w:r>
    </w:p>
    <w:p w14:paraId="58BE2EC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614680</wp:posOffset>
            </wp:positionV>
            <wp:extent cx="5291455" cy="2489200"/>
            <wp:effectExtent l="0" t="0" r="4445" b="0"/>
            <wp:wrapTopAndBottom/>
            <wp:docPr id="5" name="图片 5" descr="model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del_comparison"/>
                    <pic:cNvPicPr>
                      <a:picLocks noChangeAspect="1"/>
                    </pic:cNvPicPr>
                  </pic:nvPicPr>
                  <pic:blipFill>
                    <a:blip r:embed="rId9"/>
                    <a:srcRect t="4623" r="-470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采用准确率（Accuracy）、精确率（Precision）、召回率（Recall）、F1分数和ROC-AUC等指标对模型进行评估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"https://onlinelibrary.wiley.com/doi/10.1155/acis/8496186?ContribAuthorRaw=Ayerko,+Emmanuel+Herson&amp;af=R&amp;content=articlesChapters&amp;mi=6e4y8xs&amp;target=default" \l "1"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</w:p>
    <w:p w14:paraId="7796057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   图6：各模型性能对比条形图</w:t>
      </w:r>
    </w:p>
    <w:p w14:paraId="6F07E66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表2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1237"/>
        <w:gridCol w:w="1720"/>
        <w:gridCol w:w="1720"/>
        <w:gridCol w:w="1237"/>
        <w:gridCol w:w="1431"/>
      </w:tblGrid>
      <w:tr w14:paraId="240A6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8C6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BF2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准确率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5C8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精确率（流失类）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68E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召回率（流失类）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E8E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F1分数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F3F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ROC-AUC</w:t>
            </w:r>
          </w:p>
        </w:tc>
      </w:tr>
      <w:tr w14:paraId="25D83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0FB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逻辑回归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FA9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75.12%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2A1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52.56%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98E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65.78%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855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58.43%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A65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80.13%</w:t>
            </w:r>
          </w:p>
        </w:tc>
      </w:tr>
      <w:tr w14:paraId="31253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B4C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随机森林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086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BAF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57.36%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42D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59.36%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2A8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58.34%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52A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81.07%</w:t>
            </w:r>
          </w:p>
        </w:tc>
      </w:tr>
      <w:tr w14:paraId="76FA0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AB2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XGBoost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35A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76.33%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510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54.71%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08C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63.64%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238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58.84%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ED3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81.31%</w:t>
            </w:r>
          </w:p>
        </w:tc>
      </w:tr>
      <w:tr w14:paraId="0F6AC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D8E7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LightGBM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19C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76.05%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7D6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54.50%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C04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59.89%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0A4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57.07%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3BE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81.02%</w:t>
            </w:r>
          </w:p>
        </w:tc>
      </w:tr>
      <w:tr w14:paraId="6420F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DA27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SVM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36F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74.84%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435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52.24%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5E7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62.30%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62E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56.83%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2DF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77.91%</w:t>
            </w:r>
          </w:p>
        </w:tc>
      </w:tr>
    </w:tbl>
    <w:p w14:paraId="1BF8D55F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从评估结果可以看出：</w:t>
      </w:r>
    </w:p>
    <w:p w14:paraId="461D4C1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经超参数调优后，XGBoost 在 F1 分数（58.84%）和 ROC-AUC（81.31%）上取得最佳综合性能，成为本项目的最佳模型。</w:t>
      </w:r>
    </w:p>
    <w:p w14:paraId="3660F0D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集成学习方法（随机森林、XGBoost、LightGBM）整体优于逻辑回归和 SVM，验证了集成学习在流失预测中的优势。</w:t>
      </w:r>
    </w:p>
    <w:p w14:paraId="6764C9A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各模型召回率在 59%~66% 之间，仍有约 35% 的流失客户未被识别，类别不平衡和特征覆盖不足仍是主要瓶颈。</w:t>
      </w:r>
    </w:p>
    <w:p w14:paraId="4B66F74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最佳模型的超参数为：learning_rate=0.1, max_depth=6, n_estimators=100。</w:t>
      </w:r>
    </w:p>
    <w:p w14:paraId="243A51E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特征重要性分析（基于最佳 XGBoost 模型的 SHAP 值）表明，在网时长（tenure）、合同类型（Contract_Month-to-month）和月费用（MonthlyCharges）是预测客户流失的最重要特征，其影响方向与 EDA 结论一致：在网时长越短、月度合同、月费用越高的客户流失风险越大。此外，在线安全（OnlineSecurity_No）和技术支持（TechSupport_No）等增值服务缺失也显著增加流失概率。</w:t>
      </w:r>
    </w:p>
    <w:p w14:paraId="5B75F33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2687320</wp:posOffset>
            </wp:positionH>
            <wp:positionV relativeFrom="paragraph">
              <wp:posOffset>271145</wp:posOffset>
            </wp:positionV>
            <wp:extent cx="3702050" cy="2790190"/>
            <wp:effectExtent l="0" t="0" r="6350" b="3810"/>
            <wp:wrapTopAndBottom/>
            <wp:docPr id="8" name="图片 8" descr="roc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oc_curves"/>
                    <pic:cNvPicPr>
                      <a:picLocks noChangeAspect="1"/>
                    </pic:cNvPicPr>
                  </pic:nvPicPr>
                  <pic:blipFill>
                    <a:blip r:embed="rId10"/>
                    <a:srcRect t="5005" r="458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-1104900</wp:posOffset>
            </wp:positionH>
            <wp:positionV relativeFrom="paragraph">
              <wp:posOffset>55245</wp:posOffset>
            </wp:positionV>
            <wp:extent cx="3770630" cy="3305175"/>
            <wp:effectExtent l="0" t="0" r="1270" b="9525"/>
            <wp:wrapTopAndBottom/>
            <wp:docPr id="7" name="图片 7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onfusion_matrix"/>
                    <pic:cNvPicPr>
                      <a:picLocks noChangeAspect="1"/>
                    </pic:cNvPicPr>
                  </pic:nvPicPr>
                  <pic:blipFill>
                    <a:blip r:embed="rId11"/>
                    <a:srcRect t="5556" r="315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图7：最佳模型（XGBoost） 混淆矩阵                 图8：ROC曲线对比</w:t>
      </w:r>
    </w:p>
    <w:p w14:paraId="2812715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6.3 可视化展示</w:t>
      </w:r>
    </w:p>
    <w:p w14:paraId="7142841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（1）流失率分布饼图：直观展示流失客户与留存客户的比例。</w:t>
      </w:r>
    </w:p>
    <w:p w14:paraId="5C39E31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（2）流失驱动因素柱状图：对比不同合同类型、付款方式、在网时长区间下的流失率差异。</w:t>
      </w:r>
    </w:p>
    <w:p w14:paraId="18E3356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（3）特征相关性热力图：展示各数值型特征之间的相关关系。</w:t>
      </w:r>
    </w:p>
    <w:p w14:paraId="2803475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（4）模型性能对比图：以条形图或雷达图对比各模型的评估指标。</w:t>
      </w:r>
    </w:p>
    <w:p w14:paraId="4C7B4B4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（5）SHAP特征重要性图：展示各特征对模型预测结果的贡献度。</w:t>
      </w:r>
    </w:p>
    <w:p w14:paraId="7536EA6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4440555" cy="5071745"/>
            <wp:effectExtent l="0" t="0" r="0" b="0"/>
            <wp:docPr id="9" name="图片 9" descr="shap_feature_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hap_feature_importance"/>
                    <pic:cNvPicPr>
                      <a:picLocks noChangeAspect="1"/>
                    </pic:cNvPicPr>
                  </pic:nvPicPr>
                  <pic:blipFill>
                    <a:blip r:embed="rId12"/>
                    <a:srcRect t="3887" r="29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991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图9：SHAP 特征重要性（条形图）</w:t>
      </w:r>
    </w:p>
    <w:p w14:paraId="71D91C0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（6）Pyecharts组合大屏：整合多个图表，构建交互式可视化仪表板。</w:t>
      </w:r>
    </w:p>
    <w:p w14:paraId="0A8363C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（7）箱线图：展示流失与留存客户在连续特征上的分布差异。</w:t>
      </w:r>
    </w:p>
    <w:p w14:paraId="7D6BD58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（8）分类特征流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失率图：对比不同合同类型、付款方式、网络服务下的流失率。</w:t>
      </w:r>
    </w:p>
    <w:p w14:paraId="6506D0B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064760" cy="5867400"/>
            <wp:effectExtent l="0" t="0" r="2540" b="0"/>
            <wp:docPr id="10" name="图片 10" descr="shap_summary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hap_summary_plot"/>
                    <pic:cNvPicPr>
                      <a:picLocks noChangeAspect="1"/>
                    </pic:cNvPicPr>
                  </pic:nvPicPr>
                  <pic:blipFill>
                    <a:blip r:embed="rId13"/>
                    <a:srcRect t="2754" r="96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DA2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 图10：SHAP 特征影响分布图（蜂群图）</w:t>
      </w:r>
    </w:p>
    <w:p w14:paraId="0E7D83FF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7 AI辅助过程</w:t>
      </w:r>
    </w:p>
    <w:p w14:paraId="56DFE21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提示词：</w:t>
      </w:r>
    </w:p>
    <w:p w14:paraId="6DE848E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·“请帮我设计电信客户流失数据集的EDA分析代码，包括数据加载、缺失值处理和可视化”</w:t>
      </w:r>
    </w:p>
    <w:p w14:paraId="2738D7E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·“如何用SMOTE处理电信客户流失数据集中的类别不平衡问题？”</w:t>
      </w:r>
    </w:p>
    <w:p w14:paraId="34350EF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·“请解释SHAP值在客户流失预测模型中的应用方法”</w:t>
      </w:r>
    </w:p>
    <w:p w14:paraId="5AD2753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AI生成内容与人工优化：</w:t>
      </w:r>
    </w:p>
    <w:p w14:paraId="5CCCE24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·AI辅助生成了数据预处理和基础可视化代码框架</w:t>
      </w:r>
    </w:p>
    <w:p w14:paraId="0C58B78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·人工进行了特征工程优化、模型超参数调优和结果解读</w:t>
      </w:r>
    </w:p>
    <w:p w14:paraId="0D69D2D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·人工完成了业务洞察的提炼和报告撰写</w:t>
      </w:r>
    </w:p>
    <w:p w14:paraId="4398913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8 总结</w:t>
      </w:r>
    </w:p>
    <w:p w14:paraId="0A6F8A4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本项目围绕电信客户流失数据分析与可视化任务，完成了从数据预处理、探索性分析、特征工程、模型构建到结果可视化的完整流程。主要成果包括：</w:t>
      </w:r>
    </w:p>
    <w:p w14:paraId="7992E39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（1）数据洞察：通过EDA分析，识别出在网时长、合同类型、月费用和付款方式是客户流失的关键驱动因素，为运营商制定针对性的挽留策略提供了数据支撑。</w:t>
      </w:r>
    </w:p>
    <w:p w14:paraId="6016CC7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（2）预测模型：构建并比较了逻辑回归、随机森林、XGBoost、LightGBM 和 SVM 五种模型，并通过 GridSearchCV 进行超参数调优。其中 XGBoost 综合性能最优，F1 分数达到 58.84%，ROC-AUC 为 81.31%，验证了梯度提升集成方法在该任务上的有效性。</w:t>
      </w:r>
    </w:p>
    <w:p w14:paraId="67A0C88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（3）可解释性分析：通过SHAP值分析揭示了各特征对流失预测的具体影响方向和程度，增强了模型的可信度和业务可操作性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"https://www.nature.com/articles/s41598-025-30108-z?utm" \l "1"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70F425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（4）可视化展示：通过多种图表形式直观呈现了分析结果，包括流失率分布、特征对比、模型性能评估等。</w:t>
      </w:r>
    </w:p>
    <w:p w14:paraId="7F61F87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项目创新点：</w:t>
      </w:r>
    </w:p>
    <w:p w14:paraId="74A8897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·综合运用多种机器学习模型进行对比分析，系统评估了不同方法在流失预测任务中的优劣</w:t>
      </w:r>
    </w:p>
    <w:p w14:paraId="4939373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·引入SHAP可解释性分析，将"黑箱"预测转化为可理解、可操作的业务洞察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"https://iaj.aktuaris.or.id/index.php/iaj/article/view/25"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</w:p>
    <w:p w14:paraId="76FE956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·采用SMOTE技术有效处理了类别不平衡问题，提升了模型对流失客户的识别能力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"https://www.nature.com/articles/s41598-025-30108-z?utm" \l "1"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</w:p>
    <w:p w14:paraId="6D5CC3B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改进方向：</w:t>
      </w:r>
    </w:p>
    <w:p w14:paraId="076C6A2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·可引入深度学习模型（如LSTM、DeepFM）进一步捕捉客户行为的时间动态特征</w:t>
      </w:r>
    </w:p>
    <w:p w14:paraId="3C64701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·可整合多源数据（如客服通话记录、社交媒体交互等）构建更全面的客户画像</w:t>
      </w:r>
    </w:p>
    <w:p w14:paraId="18E2269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·可将预测模型与CRM系统集成，实现从"预测"到"行动"的端到端自动化挽留流程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"https://www.nature.com/articles/s41598-025-30108-z?utm" \l "1"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</w:p>
    <w:p w14:paraId="38BFB76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atLeas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·可探索实时流失预测方案，在客户行为变化的早期阶段即发出预警</w:t>
      </w:r>
    </w:p>
    <w:p w14:paraId="5082CB0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70892"/>
    <w:rsid w:val="18970892"/>
    <w:rsid w:val="26573321"/>
    <w:rsid w:val="422C3859"/>
    <w:rsid w:val="4703102D"/>
    <w:rsid w:val="47090A88"/>
    <w:rsid w:val="50760AC1"/>
    <w:rsid w:val="65F76F29"/>
    <w:rsid w:val="753D12FE"/>
    <w:rsid w:val="75E8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fa1ec7cd-d920-45ce-804a-6501fe665c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1ec7cd-d920-45ce-804a-6501fe665cad}"/>
      </w:docPartPr>
      <w:docPartBody>
        <w:p w14:paraId="54461D9A"/>
      </w:docPartBody>
    </w:docPart>
    <w:docPart>
      <w:docPartPr>
        <w:name w:val="{d8623941-99ae-4815-9d1a-cec25f06888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623941-99ae-4815-9d1a-cec25f06888f}"/>
      </w:docPartPr>
      <w:docPartBody>
        <w:p w14:paraId="0D6C9FBD"/>
      </w:docPartBody>
    </w:docPart>
    <w:docPart>
      <w:docPartPr>
        <w:name w:val="{d0490d2d-5883-480c-8fd6-3ca4f5d5e9c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0490d2d-5883-480c-8fd6-3ca4f5d5e9c2}"/>
      </w:docPartPr>
      <w:docPartBody>
        <w:p w14:paraId="222AFFED"/>
      </w:docPartBody>
    </w:docPart>
    <w:docPart>
      <w:docPartPr>
        <w:name w:val="{4047310b-e118-49a2-a0e8-8b883467a20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47310b-e118-49a2-a0e8-8b883467a20d}"/>
      </w:docPartPr>
      <w:docPartBody>
        <w:p w14:paraId="78B23F7E"/>
      </w:docPartBody>
    </w:docPart>
    <w:docPart>
      <w:docPartPr>
        <w:name w:val="{3d257d7d-8e16-44b1-950d-8d70531e6bd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257d7d-8e16-44b1-950d-8d70531e6bda}"/>
      </w:docPartPr>
      <w:docPartBody>
        <w:p w14:paraId="5E0102D9"/>
      </w:docPartBody>
    </w:docPart>
    <w:docPart>
      <w:docPartPr>
        <w:name w:val="{a212cf10-deb2-4278-9794-919ad8a25ce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12cf10-deb2-4278-9794-919ad8a25cef}"/>
      </w:docPartPr>
      <w:docPartBody>
        <w:p w14:paraId="25DDC72F"/>
      </w:docPartBody>
    </w:docPart>
    <w:docPart>
      <w:docPartPr>
        <w:name w:val="{d3414bb9-ee89-4a88-9d4b-6de790af0a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414bb9-ee89-4a88-9d4b-6de790af0abb}"/>
      </w:docPartPr>
      <w:docPartBody>
        <w:p w14:paraId="315A3B93"/>
      </w:docPartBody>
    </w:docPart>
    <w:docPart>
      <w:docPartPr>
        <w:name w:val="{bc86a7a3-bd79-4db0-a822-28be64c8db3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c86a7a3-bd79-4db0-a822-28be64c8db33}"/>
      </w:docPartPr>
      <w:docPartBody>
        <w:p w14:paraId="5D618DCA"/>
      </w:docPartBody>
    </w:docPart>
    <w:docPart>
      <w:docPartPr>
        <w:name w:val="{f85d2510-dbc8-4af2-835b-c6d7aa0b4b2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5d2510-dbc8-4af2-835b-c6d7aa0b4b2b}"/>
      </w:docPartPr>
      <w:docPartBody>
        <w:p w14:paraId="6E6EBA25"/>
      </w:docPartBody>
    </w:docPart>
    <w:docPart>
      <w:docPartPr>
        <w:name w:val="{c52026f2-2650-4454-8551-439ccd123b4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2026f2-2650-4454-8551-439ccd123b4c}"/>
      </w:docPartPr>
      <w:docPartBody>
        <w:p w14:paraId="64932DD7"/>
      </w:docPartBody>
    </w:docPart>
    <w:docPart>
      <w:docPartPr>
        <w:name w:val="{f368b26d-d657-4093-8a73-f20ea434371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68b26d-d657-4093-8a73-f20ea4343717}"/>
      </w:docPartPr>
      <w:docPartBody>
        <w:p w14:paraId="123B869C"/>
      </w:docPartBody>
    </w:docPart>
    <w:docPart>
      <w:docPartPr>
        <w:name w:val="{15200019-6c54-454a-b1e6-e570941d67d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200019-6c54-454a-b1e6-e570941d67d0}"/>
      </w:docPartPr>
      <w:docPartBody>
        <w:p w14:paraId="7F10A3F5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77021" type="1" data="{&quot;codeLang&quot;:&quot;Python&quot;,&quot;isDarkTheme&quot;:0}"/>
  <wpscustomsdt:sdtItem id="147476560" type="1" data="{&quot;codeLang&quot;:&quot;Python&quot;,&quot;isDarkTheme&quot;:0}"/>
  <wpscustomsdt:sdtItem id="147476332" type="1" data="{&quot;codeLang&quot;:&quot;Python&quot;,&quot;isDarkTheme&quot;:0}"/>
  <wpscustomsdt:sdtItem id="147476263" type="1" data="{&quot;codeLang&quot;:&quot;Python&quot;,&quot;isDarkTheme&quot;:0}"/>
  <wpscustomsdt:sdtItem id="147476165" type="1" data="{&quot;codeLang&quot;:&quot;Python&quot;,&quot;isDarkTheme&quot;:0}"/>
  <wpscustomsdt:sdtItem id="147476093" type="1" data="{&quot;codeLang&quot;:&quot;Python&quot;,&quot;isDarkTheme&quot;:0}"/>
  <wpscustomsdt:sdtItem id="147476025" type="1" data="{&quot;codeLang&quot;:&quot;Python&quot;,&quot;isDarkTheme&quot;:0}"/>
  <wpscustomsdt:sdtItem id="147475917" type="1" data="{&quot;codeLang&quot;:&quot;Python&quot;,&quot;isDarkTheme&quot;:0}"/>
  <wpscustomsdt:sdtItem id="147475848" type="1" data="{&quot;codeLang&quot;:&quot;Python&quot;,&quot;isDarkTheme&quot;:0}"/>
  <wpscustomsdt:sdtItem id="147475793" type="1" data="{&quot;codeLang&quot;:&quot;Python&quot;,&quot;isDarkTheme&quot;:0}"/>
  <wpscustomsdt:sdtItem id="147475711" type="1" data="{&quot;codeLang&quot;:&quot;Python&quot;,&quot;isDarkTheme&quot;:0}"/>
  <wpscustomsdt:sdtItem id="147475646" type="1" data="{&quot;codeLang&quot;:&quot;Python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3626</Words>
  <Characters>6859</Characters>
  <Lines>0</Lines>
  <Paragraphs>0</Paragraphs>
  <TotalTime>43</TotalTime>
  <ScaleCrop>false</ScaleCrop>
  <LinksUpToDate>false</LinksUpToDate>
  <CharactersWithSpaces>7649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2026-09-03T09:30:00Z</dcterms:created>
  <dc:creator>TAN90°</dc:creator>
  <cp:lastModifiedBy>TAN90°</cp:lastModifiedBy>
  <dcterms:modified xsi:type="dcterms:W3CDTF">2026-09-05T06:48:37Z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89A6D39FB0174F5182392509A0946C3B_11</vt:lpwstr>
  </property>
  <property fmtid="{D5CDD505-2E9C-101B-9397-08002B2CF9AE}" pid="4" name="KSOTemplateDocerSaveRecord">
    <vt:lpwstr>eyJoZGlkIjoiMDdjNmU2MWZlMmUzMTNmYTE3ZGQ4NjNiMDNmOTA0YzYiLCJ1c2VySWQiOiIxNzEyMjYzNDM2In0=</vt:lpwstr>
  </property>
</Properties>
</file>