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A701F5">
      <w:pPr>
        <w:jc w:val="center"/>
        <w:rPr>
          <w:rFonts w:eastAsia="华文行楷" w:cs="Times New Roman"/>
          <w:sz w:val="72"/>
          <w:szCs w:val="72"/>
        </w:rPr>
      </w:pPr>
      <w:r>
        <w:rPr>
          <w:rFonts w:eastAsia="华文行楷" w:cs="Times New Roman"/>
          <w:sz w:val="72"/>
          <w:szCs w:val="72"/>
        </w:rPr>
        <w:t>《软件开发实践1》</w:t>
      </w:r>
    </w:p>
    <w:p w14:paraId="36032B0E">
      <w:pPr>
        <w:jc w:val="center"/>
        <w:rPr>
          <w:rFonts w:eastAsia="华文行楷" w:cs="Times New Roman"/>
          <w:sz w:val="72"/>
          <w:szCs w:val="72"/>
        </w:rPr>
      </w:pPr>
      <w:r>
        <w:rPr>
          <w:rFonts w:eastAsia="华文行楷" w:cs="Times New Roman"/>
          <w:sz w:val="72"/>
          <w:szCs w:val="72"/>
        </w:rPr>
        <w:t>大作业报告</w:t>
      </w:r>
    </w:p>
    <w:p w14:paraId="32978749">
      <w:pPr>
        <w:jc w:val="center"/>
        <w:rPr>
          <w:rFonts w:cs="Times New Roman"/>
          <w:sz w:val="28"/>
        </w:rPr>
      </w:pPr>
    </w:p>
    <w:p w14:paraId="0EC82255">
      <w:pPr>
        <w:pStyle w:val="2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40" w:lineRule="atLeast"/>
        <w:ind w:left="0" w:right="0" w:firstLine="1680" w:firstLineChars="600"/>
        <w:rPr>
          <w:rFonts w:hint="default" w:cs="Times New Roman" w:asciiTheme="minorHAnsi" w:hAnsiTheme="minorHAnsi" w:eastAsiaTheme="minorEastAsia"/>
          <w:b w:val="0"/>
          <w:bCs w:val="0"/>
          <w:kern w:val="2"/>
          <w:sz w:val="28"/>
          <w:szCs w:val="24"/>
          <w:lang w:val="en-US" w:eastAsia="zh-CN" w:bidi="ar-SA"/>
        </w:rPr>
      </w:pPr>
    </w:p>
    <w:p w14:paraId="67C2A059">
      <w:pPr>
        <w:pStyle w:val="2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40" w:lineRule="atLeast"/>
        <w:ind w:left="0" w:right="0" w:firstLine="1680" w:firstLineChars="600"/>
        <w:rPr>
          <w:rFonts w:hint="default" w:cs="Times New Roman" w:asciiTheme="minorHAnsi" w:hAnsiTheme="minorHAnsi" w:eastAsiaTheme="minorEastAsia"/>
          <w:b w:val="0"/>
          <w:bCs w:val="0"/>
          <w:kern w:val="2"/>
          <w:sz w:val="28"/>
          <w:szCs w:val="24"/>
          <w:lang w:val="en-US" w:eastAsia="zh-CN" w:bidi="ar-SA"/>
        </w:rPr>
      </w:pPr>
    </w:p>
    <w:p w14:paraId="20DDBBFF">
      <w:pPr>
        <w:pStyle w:val="2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40" w:lineRule="atLeast"/>
        <w:ind w:right="0" w:firstLine="840" w:firstLineChars="300"/>
        <w:rPr>
          <w:rFonts w:hint="eastAsia" w:cs="Times New Roman" w:asciiTheme="minorHAnsi" w:hAnsiTheme="minorHAnsi" w:eastAsiaTheme="minorEastAsia"/>
          <w:b w:val="0"/>
          <w:bCs w:val="0"/>
          <w:kern w:val="2"/>
          <w:sz w:val="28"/>
          <w:szCs w:val="24"/>
          <w:lang w:val="en-US" w:eastAsia="zh-CN" w:bidi="ar-SA"/>
        </w:rPr>
      </w:pPr>
      <w:r>
        <w:rPr>
          <w:rFonts w:hint="default" w:cs="Times New Roman" w:asciiTheme="minorHAnsi" w:hAnsiTheme="minorHAnsi" w:eastAsiaTheme="minorEastAsia"/>
          <w:b w:val="0"/>
          <w:bCs w:val="0"/>
          <w:kern w:val="2"/>
          <w:sz w:val="28"/>
          <w:szCs w:val="24"/>
          <w:lang w:val="en-US" w:eastAsia="zh-CN" w:bidi="ar-SA"/>
        </w:rPr>
        <w:t>项目名称：</w:t>
      </w:r>
      <w:r>
        <w:rPr>
          <w:rFonts w:hint="eastAsia" w:cs="Times New Roman" w:asciiTheme="minorHAnsi" w:hAnsiTheme="minorHAnsi" w:eastAsiaTheme="minorEastAsia"/>
          <w:b w:val="0"/>
          <w:bCs w:val="0"/>
          <w:kern w:val="2"/>
          <w:sz w:val="28"/>
          <w:szCs w:val="24"/>
          <w:lang w:val="en-US" w:eastAsia="zh-CN" w:bidi="ar-SA"/>
        </w:rPr>
        <w:t>电信客户流失数据分析及可视化</w:t>
      </w:r>
    </w:p>
    <w:p w14:paraId="0ACEA6D9">
      <w:pPr>
        <w:ind w:firstLine="840" w:firstLineChars="300"/>
        <w:rPr>
          <w:rFonts w:hint="default" w:cs="Times New Roman" w:eastAsiaTheme="minorEastAsia"/>
          <w:sz w:val="28"/>
          <w:lang w:val="en-US" w:eastAsia="zh-CN"/>
        </w:rPr>
      </w:pPr>
      <w:r>
        <w:rPr>
          <w:rFonts w:cs="Times New Roman"/>
          <w:sz w:val="28"/>
        </w:rPr>
        <w:t>团队成员：</w:t>
      </w:r>
      <w:r>
        <w:rPr>
          <w:rFonts w:hint="eastAsia" w:cs="Times New Roman"/>
          <w:sz w:val="28"/>
          <w:lang w:val="en-US" w:eastAsia="zh-CN"/>
        </w:rPr>
        <w:t>25050603 夏涵欣</w:t>
      </w:r>
    </w:p>
    <w:p w14:paraId="173A0B21">
      <w:pPr>
        <w:ind w:firstLine="840" w:firstLineChars="300"/>
        <w:rPr>
          <w:rFonts w:cs="Times New Roman"/>
          <w:sz w:val="28"/>
        </w:rPr>
      </w:pPr>
      <w:r>
        <w:rPr>
          <w:rFonts w:cs="Times New Roman"/>
          <w:sz w:val="28"/>
        </w:rPr>
        <w:t>完成时间：2026年9月</w:t>
      </w:r>
    </w:p>
    <w:p w14:paraId="738A626C">
      <w:pPr>
        <w:pStyle w:val="2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40" w:lineRule="atLeast"/>
        <w:ind w:left="0" w:right="0" w:firstLine="1928" w:firstLineChars="600"/>
        <w:rPr>
          <w:rFonts w:hint="eastAsia" w:ascii="黑体" w:hAnsi="黑体" w:eastAsia="黑体" w:cs="黑体"/>
          <w:b/>
          <w:bCs/>
          <w:caps w:val="0"/>
          <w:color w:val="0F1115"/>
          <w:spacing w:val="0"/>
          <w:sz w:val="32"/>
          <w:szCs w:val="32"/>
          <w:shd w:val="clear" w:fill="FFFFFF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24CC0575">
      <w:pPr>
        <w:pStyle w:val="2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40" w:lineRule="atLeast"/>
        <w:ind w:left="0" w:right="0" w:firstLine="1928" w:firstLineChars="600"/>
        <w:rPr>
          <w:rFonts w:hint="eastAsia" w:ascii="黑体" w:hAnsi="黑体" w:eastAsia="黑体" w:cs="黑体"/>
          <w:b/>
          <w:bCs/>
          <w:caps w:val="0"/>
          <w:color w:val="0F1115"/>
          <w:spacing w:val="0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caps w:val="0"/>
          <w:color w:val="0F1115"/>
          <w:spacing w:val="0"/>
          <w:sz w:val="32"/>
          <w:szCs w:val="32"/>
          <w:shd w:val="clear" w:fill="FFFFFF"/>
        </w:rPr>
        <w:t>电信客户流失数据分析及可视化</w:t>
      </w:r>
    </w:p>
    <w:p w14:paraId="58674AD5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  <w:t>1 团队成员组成及分工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00"/>
        <w:gridCol w:w="1225"/>
        <w:gridCol w:w="5095"/>
        <w:gridCol w:w="1026"/>
      </w:tblGrid>
      <w:tr w14:paraId="0CBF43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4077BE0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学号</w:t>
            </w:r>
          </w:p>
        </w:tc>
        <w:tc>
          <w:tcPr>
            <w:tcW w:w="1225" w:type="dxa"/>
            <w:tcBorders>
              <w:top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FEBA7B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姓名</w:t>
            </w:r>
          </w:p>
        </w:tc>
        <w:tc>
          <w:tcPr>
            <w:tcW w:w="5095" w:type="dxa"/>
            <w:tcBorders>
              <w:top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20A060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详细任务分工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4FD5E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工作量占比</w:t>
            </w:r>
          </w:p>
        </w:tc>
      </w:tr>
      <w:tr w14:paraId="6867C9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EE5487">
            <w:pPr>
              <w:keepNext w:val="0"/>
              <w:keepLines w:val="0"/>
              <w:pageBreakBefore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25050603</w:t>
            </w:r>
          </w:p>
        </w:tc>
        <w:tc>
          <w:tcPr>
            <w:tcW w:w="122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BA5A4C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夏涵欣</w:t>
            </w:r>
          </w:p>
        </w:tc>
        <w:tc>
          <w:tcPr>
            <w:tcW w:w="509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44A4B0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项目整体架构设计、数据处理与清洗、机器学习模型构建与优化、报告撰写、数据可视化分析与图表制作、特征工程、模型评估与结果分析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984EEA">
            <w:pPr>
              <w:keepNext w:val="0"/>
              <w:keepLines w:val="0"/>
              <w:pageBreakBefore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100%</w:t>
            </w:r>
          </w:p>
        </w:tc>
      </w:tr>
    </w:tbl>
    <w:p w14:paraId="3A1D040C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  <w:t>2 项目开发环境</w:t>
      </w:r>
    </w:p>
    <w:p w14:paraId="7D11C50E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开发工具：</w:t>
      </w:r>
      <w:r>
        <w:rPr>
          <w:rFonts w:hint="eastAsia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t>Visual Studio Code / Jupyter Notebook</w:t>
      </w:r>
    </w:p>
    <w:p w14:paraId="0416DD0B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开发语言：</w:t>
      </w:r>
      <w:r>
        <w:rPr>
          <w:rFonts w:hint="eastAsia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t>Python 3.9+</w:t>
      </w:r>
    </w:p>
    <w:p w14:paraId="229917CE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主要开发库：</w:t>
      </w:r>
    </w:p>
    <w:p w14:paraId="39F60C95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·数据处理：</w:t>
      </w:r>
      <w:r>
        <w:rPr>
          <w:rFonts w:hint="eastAsia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t>Pandas、NumPy</w:t>
      </w:r>
    </w:p>
    <w:p w14:paraId="71131DDD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·数据可视化：</w:t>
      </w:r>
      <w:r>
        <w:rPr>
          <w:rFonts w:hint="eastAsia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t>Matplotlib、Seaborn、Pyecharts</w:t>
      </w:r>
    </w:p>
    <w:p w14:paraId="6EFCE6A2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·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机器学习：</w:t>
      </w:r>
      <w:r>
        <w:rPr>
          <w:rFonts w:hint="eastAsia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t>Scikit-learn（Logistic Regression、Random Forest、SVM）、XGBoost、LightGBM</w:t>
      </w:r>
    </w:p>
    <w:p w14:paraId="25EFB718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·类别不平衡处理：</w:t>
      </w:r>
      <w:r>
        <w:rPr>
          <w:rFonts w:hint="eastAsia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t>imbalanced-learn（SMOTE）</w:t>
      </w:r>
    </w:p>
    <w:p w14:paraId="08AE7F70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·模型可解释性：</w:t>
      </w:r>
      <w:r>
        <w:rPr>
          <w:rFonts w:hint="eastAsia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t>SHAP</w:t>
      </w:r>
    </w:p>
    <w:p w14:paraId="2DA31401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·</w:t>
      </w:r>
      <w:r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超参数调优：GridSearchCV（Scikit-learn）</w:t>
      </w:r>
    </w:p>
    <w:p w14:paraId="76EB88B4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3 数据说明</w:t>
      </w:r>
    </w:p>
    <w:p w14:paraId="78150747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本项目采用</w:t>
      </w:r>
      <w:r>
        <w:rPr>
          <w:rFonts w:hint="eastAsia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t>IBM Telco Customer Churn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数据集，该数据集是电信客户流失分析领域最广泛使用的基准数据集之一。</w:t>
      </w:r>
    </w:p>
    <w:p w14:paraId="24692638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数据来源：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</w:t>
      </w:r>
      <w:r>
        <w:rPr>
          <w:rFonts w:hint="eastAsia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t>Kaggle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平台（</w:t>
      </w:r>
      <w:r>
        <w:rPr>
          <w:rFonts w:hint="eastAsia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t>blastchar/telco-customer-churn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）</w:t>
      </w:r>
    </w:p>
    <w:p w14:paraId="12BE8774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样本个数：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7,043条客户记录</w:t>
      </w:r>
    </w:p>
    <w:p w14:paraId="64F9F25A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特征种类与数目：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共21个特征（含目标变量），可分为以下几类：</w:t>
      </w:r>
    </w:p>
    <w:p w14:paraId="10398F15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表1</w:t>
      </w:r>
    </w:p>
    <w:tbl>
      <w:tblPr>
        <w:tblStyle w:val="7"/>
        <w:tblW w:w="936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33"/>
        <w:gridCol w:w="5210"/>
        <w:gridCol w:w="2617"/>
      </w:tblGrid>
      <w:tr w14:paraId="27044F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533" w:type="dxa"/>
            <w:tcBorders>
              <w:top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09D7316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特征类别</w:t>
            </w:r>
          </w:p>
        </w:tc>
        <w:tc>
          <w:tcPr>
            <w:tcW w:w="5210" w:type="dxa"/>
            <w:tcBorders>
              <w:top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60F4B2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特征名称</w:t>
            </w:r>
          </w:p>
        </w:tc>
        <w:tc>
          <w:tcPr>
            <w:tcW w:w="2617" w:type="dxa"/>
            <w:tcBorders>
              <w:top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F48B40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 w14:paraId="476D00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3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2E18E0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客户ID</w:t>
            </w:r>
          </w:p>
        </w:tc>
        <w:tc>
          <w:tcPr>
            <w:tcW w:w="521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2D8C1C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customerID</w:t>
            </w:r>
          </w:p>
        </w:tc>
        <w:tc>
          <w:tcPr>
            <w:tcW w:w="26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E77DBA4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客户唯一标识</w:t>
            </w:r>
          </w:p>
        </w:tc>
      </w:tr>
      <w:tr w14:paraId="4166E3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3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552BCE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人口统计特征</w:t>
            </w:r>
          </w:p>
        </w:tc>
        <w:tc>
          <w:tcPr>
            <w:tcW w:w="521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54FE57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gender, SeniorCitizen, Partner, Dependents</w:t>
            </w:r>
          </w:p>
        </w:tc>
        <w:tc>
          <w:tcPr>
            <w:tcW w:w="26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B1D241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性别、是否老年人、是否有伴侣、是否有家属</w:t>
            </w:r>
          </w:p>
        </w:tc>
      </w:tr>
      <w:tr w14:paraId="15973F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3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DF8DAE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账户信息</w:t>
            </w:r>
          </w:p>
        </w:tc>
        <w:tc>
          <w:tcPr>
            <w:tcW w:w="521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81F891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tenure, Contract, PaperlessBilling, PaymentMethod, MonthlyCharges, TotalCharges</w:t>
            </w:r>
          </w:p>
        </w:tc>
        <w:tc>
          <w:tcPr>
            <w:tcW w:w="26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4CF7EA6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在网时长、合同类型、是否电子账单、付款方式、月费用、总费用</w:t>
            </w:r>
          </w:p>
        </w:tc>
      </w:tr>
      <w:tr w14:paraId="2CDAB9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3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27E7E5E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服务订阅</w:t>
            </w:r>
          </w:p>
        </w:tc>
        <w:tc>
          <w:tcPr>
            <w:tcW w:w="521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1B427A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PhoneService, MultipleLines, InternetService, OnlineSecurity, OnlineBackup, DeviceProtection, TechSupport, StreamingTV, StreamingMovies</w:t>
            </w:r>
          </w:p>
        </w:tc>
        <w:tc>
          <w:tcPr>
            <w:tcW w:w="26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7B4EC3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电话服务、多线路、互联网服务及各附加服务订阅情况</w:t>
            </w:r>
          </w:p>
        </w:tc>
      </w:tr>
      <w:tr w14:paraId="2F9335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3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C5528C7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目标变量</w:t>
            </w:r>
          </w:p>
        </w:tc>
        <w:tc>
          <w:tcPr>
            <w:tcW w:w="521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2F6D46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Churn</w:t>
            </w:r>
          </w:p>
        </w:tc>
        <w:tc>
          <w:tcPr>
            <w:tcW w:w="26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8121F7D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是否流失（Yes/No）</w:t>
            </w:r>
          </w:p>
        </w:tc>
      </w:tr>
    </w:tbl>
    <w:p w14:paraId="1809DDA1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8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该数据集为IBM提供的模拟电信公司数据，描述了加州7043名客户在第三季度的家庭电话和互联网服务使用情况。</w:t>
      </w:r>
    </w:p>
    <w:p w14:paraId="4734A660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  <w:t>4 需求分析</w:t>
      </w:r>
    </w:p>
    <w:p w14:paraId="7B574742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  <w:t>4.1 系统目标</w:t>
      </w:r>
    </w:p>
    <w:p w14:paraId="4D9416AE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构建一个完整的电信客户流失数据分析与可视化系统，实现以下核心功能：</w:t>
      </w:r>
    </w:p>
    <w:p w14:paraId="44E5E78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8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1.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数据预处理与清洗：处理缺失值、异常值，进行数据类型转换和特征编码</w:t>
      </w:r>
    </w:p>
    <w:p w14:paraId="07E637F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8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2.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探索性数据分析（EDA） ：通过统计分析和可视化手段，揭示流失客户与留存客户的特征差异</w:t>
      </w:r>
    </w:p>
    <w:p w14:paraId="6B2E0494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8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3.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客户流失预测：基于多种机器学习模型构建流失预测模型，识别高流失风险客户</w:t>
      </w:r>
    </w:p>
    <w:p w14:paraId="7CDBFE9E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8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4.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流失原因分析：通过特征重要性分析和SHAP可解释性分析，揭示客户流失的关键驱动因素</w:t>
      </w:r>
    </w:p>
    <w:p w14:paraId="46E31A1B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8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5.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可视化展示：以直观的图表和仪表板呈现分析结果</w:t>
      </w:r>
    </w:p>
    <w:p w14:paraId="01B08814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  <w:t>4.2 功能模块</w:t>
      </w:r>
    </w:p>
    <w:p w14:paraId="45BC4338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 w:firstLine="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电信客户流失数据分析系统</w:t>
      </w:r>
    </w:p>
    <w:p w14:paraId="37783FF6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├── 数据预处理模块</w:t>
      </w:r>
    </w:p>
    <w:p w14:paraId="6A7CBDB9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│   ├── 缺失值处理</w:t>
      </w:r>
    </w:p>
    <w:p w14:paraId="19D70747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│   ├── 数据类型转换</w:t>
      </w:r>
    </w:p>
    <w:p w14:paraId="454D6E13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│   └── 特征编码（Label Encoding / One-Hot Encoding）</w:t>
      </w:r>
    </w:p>
    <w:p w14:paraId="61C1FD8E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├── 探索性分析模块</w:t>
      </w:r>
    </w:p>
    <w:p w14:paraId="542A6900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│   ├── 流失率统计（饼图）</w:t>
      </w:r>
    </w:p>
    <w:p w14:paraId="03C8D078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│   ├── 单变量分析（分布图）</w:t>
      </w:r>
    </w:p>
    <w:p w14:paraId="53C8A202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│   ├── 双变量分析（流失率对比柱状图）</w:t>
      </w:r>
    </w:p>
    <w:p w14:paraId="1F590C97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│   └── 相关性分析（热力图）</w:t>
      </w:r>
    </w:p>
    <w:p w14:paraId="35720689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├── 特征工程模块</w:t>
      </w:r>
    </w:p>
    <w:p w14:paraId="077D6699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│   ├── 特征选择（卡方检验 / 互信息）</w:t>
      </w:r>
    </w:p>
    <w:p w14:paraId="2A0F7E40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│   ├── 类别不平衡处理（SMOTE）</w:t>
      </w:r>
    </w:p>
    <w:p w14:paraId="3CC601E1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│   └── 数据标准化/归一化</w:t>
      </w:r>
    </w:p>
    <w:p w14:paraId="45767C3D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├── 模型训练与评估模块</w:t>
      </w:r>
    </w:p>
    <w:p w14:paraId="27235383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│   ├── 逻辑回归</w:t>
      </w:r>
    </w:p>
    <w:p w14:paraId="4124261E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│   ├── 随机森林</w:t>
      </w:r>
    </w:p>
    <w:p w14:paraId="5D72B013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│   ├── XGBoost</w:t>
      </w:r>
    </w:p>
    <w:p w14:paraId="1F7A965D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│   ├── LightGBM</w:t>
      </w:r>
    </w:p>
    <w:p w14:paraId="16244E99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│   └── 支持向量机（SVM）</w:t>
      </w:r>
    </w:p>
    <w:p w14:paraId="76D507A2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├── 模型可解释性模块</w:t>
      </w:r>
    </w:p>
    <w:p w14:paraId="708C625C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│   └── SHAP值分析</w:t>
      </w:r>
    </w:p>
    <w:p w14:paraId="1200C13C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 xml:space="preserve">└── 可视化展示模块 </w:t>
      </w:r>
    </w:p>
    <w:p w14:paraId="16D5DFC2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 xml:space="preserve">   ├── Matplotlib/Seaborn静态图表</w:t>
      </w:r>
    </w:p>
    <w:p w14:paraId="1DE239DE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 xml:space="preserve">    └── Pyecharts交互式大屏</w:t>
      </w:r>
    </w:p>
    <w:p w14:paraId="28D7287E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  <w:t>4.3 业务流程图</w:t>
      </w:r>
    </w:p>
    <w:p w14:paraId="1EC7F3B0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400" w:lineRule="atLeast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</w:rPr>
        <w:t xml:space="preserve">[原始数据] → [数据清洗] → [EDA分析] → [特征工程] → [模型训练] → [模型评估] → [结果可视化]                   </w:t>
      </w:r>
      <w:r>
        <w:rPr>
          <w:rFonts w:hint="eastAsia" w:cs="宋体"/>
          <w:i w:val="0"/>
          <w:iCs w:val="0"/>
          <w:caps w:val="0"/>
          <w:color w:val="0F1115"/>
          <w:spacing w:val="0"/>
          <w:sz w:val="18"/>
          <w:szCs w:val="18"/>
          <w:lang w:val="en-US" w:eastAsia="zh-CN"/>
        </w:rPr>
        <w:t xml:space="preserve">  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</w:rPr>
        <w:t xml:space="preserve">↓              ↓              ↓              ↓               </w:t>
      </w:r>
    </w:p>
    <w:p w14:paraId="67DD6253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400" w:lineRule="atLeast"/>
        <w:ind w:left="1606" w:leftChars="765" w:right="0" w:firstLine="0" w:firstLineChars="0"/>
        <w:textAlignment w:val="auto"/>
        <w:rPr>
          <w:rFonts w:hint="eastAsia" w:ascii="宋体" w:hAnsi="宋体" w:eastAsia="宋体" w:cs="宋体"/>
          <w:sz w:val="18"/>
          <w:szCs w:val="18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</w:rPr>
        <w:t xml:space="preserve">[缺失值处理]   </w:t>
      </w:r>
      <w:r>
        <w:rPr>
          <w:rFonts w:hint="eastAsia" w:cs="宋体"/>
          <w:i w:val="0"/>
          <w:iCs w:val="0"/>
          <w:caps w:val="0"/>
          <w:color w:val="0F1115"/>
          <w:spacing w:val="0"/>
          <w:sz w:val="18"/>
          <w:szCs w:val="18"/>
          <w:lang w:val="en-US" w:eastAsia="zh-CN"/>
        </w:rPr>
        <w:t xml:space="preserve">  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</w:rPr>
        <w:t xml:space="preserve">[流失率统计]  </w:t>
      </w:r>
      <w:r>
        <w:rPr>
          <w:rFonts w:hint="eastAsia" w:cs="宋体"/>
          <w:i w:val="0"/>
          <w:iCs w:val="0"/>
          <w:caps w:val="0"/>
          <w:color w:val="0F1115"/>
          <w:spacing w:val="0"/>
          <w:sz w:val="18"/>
          <w:szCs w:val="18"/>
          <w:lang w:val="en-US" w:eastAsia="zh-CN"/>
        </w:rPr>
        <w:t xml:space="preserve"> 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</w:rPr>
        <w:t xml:space="preserve"> [SMOTE平衡]   </w:t>
      </w:r>
      <w:r>
        <w:rPr>
          <w:rFonts w:hint="eastAsia" w:cs="宋体"/>
          <w:i w:val="0"/>
          <w:iCs w:val="0"/>
          <w:caps w:val="0"/>
          <w:color w:val="0F1115"/>
          <w:spacing w:val="0"/>
          <w:sz w:val="18"/>
          <w:szCs w:val="18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</w:rPr>
        <w:t xml:space="preserve">[交叉验证]               [类型转换]    </w:t>
      </w:r>
      <w:r>
        <w:rPr>
          <w:rFonts w:hint="eastAsia" w:cs="宋体"/>
          <w:i w:val="0"/>
          <w:iCs w:val="0"/>
          <w:caps w:val="0"/>
          <w:color w:val="0F1115"/>
          <w:spacing w:val="0"/>
          <w:sz w:val="18"/>
          <w:szCs w:val="18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</w:rPr>
        <w:t xml:space="preserve">[特征分布]    </w:t>
      </w:r>
      <w:r>
        <w:rPr>
          <w:rFonts w:hint="eastAsia" w:cs="宋体"/>
          <w:i w:val="0"/>
          <w:iCs w:val="0"/>
          <w:caps w:val="0"/>
          <w:color w:val="0F1115"/>
          <w:spacing w:val="0"/>
          <w:sz w:val="18"/>
          <w:szCs w:val="18"/>
          <w:lang w:val="en-US" w:eastAsia="zh-CN"/>
        </w:rPr>
        <w:t xml:space="preserve">  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</w:rPr>
        <w:t xml:space="preserve">[特征选择]   </w:t>
      </w:r>
      <w:r>
        <w:rPr>
          <w:rFonts w:hint="eastAsia" w:cs="宋体"/>
          <w:i w:val="0"/>
          <w:iCs w:val="0"/>
          <w:caps w:val="0"/>
          <w:color w:val="0F1115"/>
          <w:spacing w:val="0"/>
          <w:sz w:val="18"/>
          <w:szCs w:val="18"/>
          <w:lang w:val="en-US" w:eastAsia="zh-CN"/>
        </w:rPr>
        <w:t xml:space="preserve">  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</w:rPr>
        <w:t xml:space="preserve"> [超参数调优]             [编码处理]   </w:t>
      </w:r>
      <w:r>
        <w:rPr>
          <w:rFonts w:hint="eastAsia" w:cs="宋体"/>
          <w:i w:val="0"/>
          <w:iCs w:val="0"/>
          <w:caps w:val="0"/>
          <w:color w:val="0F1115"/>
          <w:spacing w:val="0"/>
          <w:sz w:val="18"/>
          <w:szCs w:val="18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</w:rPr>
        <w:t xml:space="preserve"> [流失对比]   </w:t>
      </w:r>
      <w:r>
        <w:rPr>
          <w:rFonts w:hint="eastAsia" w:cs="宋体"/>
          <w:i w:val="0"/>
          <w:iCs w:val="0"/>
          <w:caps w:val="0"/>
          <w:color w:val="0F1115"/>
          <w:spacing w:val="0"/>
          <w:sz w:val="18"/>
          <w:szCs w:val="18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</w:rPr>
        <w:t xml:space="preserve"> [标准化]    </w:t>
      </w:r>
      <w:r>
        <w:rPr>
          <w:rFonts w:hint="eastAsia" w:cs="宋体"/>
          <w:i w:val="0"/>
          <w:iCs w:val="0"/>
          <w:caps w:val="0"/>
          <w:color w:val="0F1115"/>
          <w:spacing w:val="0"/>
          <w:sz w:val="18"/>
          <w:szCs w:val="18"/>
          <w:lang w:val="en-US" w:eastAsia="zh-CN"/>
        </w:rPr>
        <w:t xml:space="preserve"> 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</w:rPr>
        <w:t xml:space="preserve">  [SHAP分析]</w:t>
      </w:r>
    </w:p>
    <w:p w14:paraId="4B33E298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  <w:t>5 系统设计和实现</w:t>
      </w:r>
    </w:p>
    <w:p w14:paraId="142B8D73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5.1 数据预处理</w:t>
      </w:r>
    </w:p>
    <w:p w14:paraId="176155DC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（1）数据加载与初步探索</w:t>
      </w:r>
    </w:p>
    <w:sdt>
      <w:sdtPr>
        <w:rPr>
          <w:rFonts w:hint="eastAsia" w:ascii="Consolas" w:hAnsi="宋体" w:eastAsia="宋体" w:cs="宋体"/>
          <w:b/>
          <w:bCs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  <w:id w:val="147477021"/>
        <w:placeholder>
          <w:docPart w:val="{fa1ec7cd-d920-45ce-804a-6501fe665cad}"/>
        </w:placeholder>
        <w15:appearance w15:val="hidden"/>
      </w:sdtPr>
      <w:sdtEndPr>
        <w:rPr>
          <w:rFonts w:hint="eastAsia" w:ascii="Consolas" w:hAnsi="宋体" w:eastAsia="宋体" w:cs="宋体"/>
          <w:b/>
          <w:bCs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</w:sdtEndPr>
      <w:sdtContent>
        <w:p w14:paraId="117F3EF1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import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pandas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682AEF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as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pd</w:t>
          </w:r>
        </w:p>
        <w:p w14:paraId="62160179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import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numpy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682AEF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as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</w:p>
        <w:p w14:paraId="1BA56A31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0D81F914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90909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# 加载数据</w:t>
          </w:r>
        </w:p>
        <w:p w14:paraId="189E05FB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df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pd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read_csv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'WA_Fn-UseC_-Telco-Customer-Churn.csv'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5D1DB919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32B0B601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90909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# 查看数据基本信息</w:t>
          </w:r>
        </w:p>
        <w:p w14:paraId="57110C8C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print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df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info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())</w:t>
          </w:r>
        </w:p>
        <w:p w14:paraId="085C8B36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0F111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print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df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describe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())</w:t>
          </w:r>
        </w:p>
      </w:sdtContent>
    </w:sdt>
    <w:p w14:paraId="36BF5031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（2）缺失值处理</w:t>
      </w:r>
    </w:p>
    <w:p w14:paraId="525FD759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TotalCharges列存在11条空白值，被识别为字符串类型。程序先将其转换为数值型，无法转换的值记为缺失值，再采用中位数进行填补，保留全部7043条客户记录</w:t>
      </w:r>
    </w:p>
    <w:sdt>
      <w:sdtPr>
        <w:rPr>
          <w:rFonts w:hint="eastAsia" w:ascii="Consolas" w:hAnsi="宋体" w:eastAsia="宋体" w:cs="宋体"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  <w:id w:val="147476560"/>
        <w:placeholder>
          <w:docPart w:val="{d8623941-99ae-4815-9d1a-cec25f06888f}"/>
        </w:placeholder>
        <w15:appearance w15:val="hidden"/>
      </w:sdtPr>
      <w:sdtEndPr>
        <w:rPr>
          <w:rFonts w:hint="eastAsia" w:ascii="Consolas" w:hAnsi="宋体" w:eastAsia="宋体" w:cs="宋体"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</w:sdtEndPr>
      <w:sdtContent>
        <w:p w14:paraId="3AD8F923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90909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# 将TotalCharges转换为数值类型，无法转换的设为NaN</w:t>
          </w:r>
        </w:p>
        <w:p w14:paraId="41FBB30A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df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'TotalCharges'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pd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to_numeric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df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'TotalCharges'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],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errors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'coerce'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236C7928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1F8A528C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90909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# 用中位数填充缺失值</w:t>
          </w:r>
        </w:p>
        <w:p w14:paraId="343C1CFD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0F1115"/>
              <w:spacing w:val="0"/>
              <w:sz w:val="21"/>
              <w:szCs w:val="24"/>
              <w:shd w:val="clear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df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'TotalCharges'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].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fillna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df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'TotalCharges'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].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median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(),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inplace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True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</w:sdtContent>
    </w:sdt>
    <w:p w14:paraId="6BF8005D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（3）特征编码</w:t>
      </w:r>
    </w:p>
    <w:p w14:paraId="0604B550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将分类特征转换为数值型，便于机器学习模型处理：</w:t>
      </w:r>
    </w:p>
    <w:sdt>
      <w:sdtPr>
        <w:rPr>
          <w:rFonts w:hint="eastAsia" w:ascii="Consolas" w:hAnsi="宋体" w:eastAsia="宋体" w:cs="宋体"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  <w:id w:val="147476332"/>
        <w:placeholder>
          <w:docPart w:val="{d0490d2d-5883-480c-8fd6-3ca4f5d5e9c2}"/>
        </w:placeholder>
        <w15:appearance w15:val="hidden"/>
      </w:sdtPr>
      <w:sdtEndPr>
        <w:rPr>
          <w:rFonts w:hint="eastAsia" w:ascii="Consolas" w:hAnsi="宋体" w:eastAsia="宋体" w:cs="宋体"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</w:sdtEndPr>
      <w:sdtContent>
        <w:p w14:paraId="6FC9BF15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from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sklearn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preprocessing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import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LabelEncoder</w:t>
          </w:r>
        </w:p>
        <w:p w14:paraId="60135FCE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493FD193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90909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# 对二分类特征进行Label Encoding</w:t>
          </w:r>
        </w:p>
        <w:p w14:paraId="1D1F502D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binary_cols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[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'gender'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'Partner'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'Dependents'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'PhoneService'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</w:p>
        <w:p w14:paraId="73977C12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      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'PaperlessBilling'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'Churn'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]</w:t>
          </w:r>
        </w:p>
        <w:p w14:paraId="3C4A5E97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682AEF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for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col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in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binary_cols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:</w:t>
          </w:r>
        </w:p>
        <w:p w14:paraId="762E246A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df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col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LabelEncoder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().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fit_transform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df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col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])</w:t>
          </w:r>
        </w:p>
        <w:p w14:paraId="1DBC8455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6D282987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90909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# 对多分类特征进行One-Hot Encoding</w:t>
          </w:r>
        </w:p>
        <w:p w14:paraId="78E329B1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df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pd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get_dummies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df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columns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=[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'MultipleLines'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'InternetService'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</w:p>
        <w:p w14:paraId="68CE4CA9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           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'OnlineSecurity'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'OnlineBackup'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'DeviceProtection'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</w:p>
        <w:p w14:paraId="3C5E9FDB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           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'TechSupport'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'StreamingTV'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'StreamingMovies'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</w:p>
        <w:p w14:paraId="298EB00B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0F1115"/>
              <w:spacing w:val="0"/>
              <w:sz w:val="21"/>
              <w:szCs w:val="24"/>
              <w:shd w:val="clear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           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'Contract'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'PaymentMethod'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],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drop_first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True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</w:sdtContent>
    </w:sdt>
    <w:p w14:paraId="52A5736C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5.2 探索性数据分析（EDA）</w:t>
      </w:r>
    </w:p>
    <w:p w14:paraId="584E4646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（1）流失率分析</w:t>
      </w:r>
    </w:p>
    <w:sdt>
      <w:sdtPr>
        <w:rPr>
          <w:rFonts w:hint="eastAsia" w:ascii="Consolas" w:hAnsi="宋体" w:eastAsia="宋体" w:cs="宋体"/>
          <w:i w:val="0"/>
          <w:iCs w:val="0"/>
          <w:caps w:val="0"/>
          <w:color w:val="0F1115"/>
          <w:spacing w:val="0"/>
          <w:kern w:val="0"/>
          <w:sz w:val="21"/>
          <w:szCs w:val="24"/>
          <w:shd w:val="clear"/>
          <w:lang w:val="en-US" w:eastAsia="zh-CN" w:bidi="ar"/>
        </w:rPr>
        <w:id w:val="147476263"/>
        <w:placeholder>
          <w:docPart w:val="{4047310b-e118-49a2-a0e8-8b883467a20d}"/>
        </w:placeholder>
        <w15:appearance w15:val="hidden"/>
      </w:sdtPr>
      <w:sdtEndPr>
        <w:rPr>
          <w:rFonts w:hint="eastAsia" w:ascii="Consolas" w:hAnsi="宋体" w:eastAsia="宋体" w:cs="宋体"/>
          <w:i w:val="0"/>
          <w:iCs w:val="0"/>
          <w:caps w:val="0"/>
          <w:color w:val="383A42"/>
          <w:spacing w:val="0"/>
          <w:kern w:val="0"/>
          <w:sz w:val="21"/>
          <w:szCs w:val="24"/>
          <w:shd w:val="clear"/>
          <w:lang w:val="en-US" w:eastAsia="zh-CN" w:bidi="ar"/>
        </w:rPr>
      </w:sdtEndPr>
      <w:sdtContent>
        <w:p w14:paraId="21FBDD66">
          <w:pPr>
            <w:pStyle w:val="5"/>
            <w:keepNext w:val="0"/>
            <w:keepLines w:val="0"/>
            <w:pageBreakBefore w:val="0"/>
            <w:widowControl/>
            <w:suppressLineNumbers w:val="0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pBdr>
            <w:shd w:val="clear" w:fill="F5F5F5"/>
            <w:tabs>
              <w:tab w:val="clear" w:pos="916"/>
              <w:tab w:val="clear" w:pos="1832"/>
              <w:tab w:val="clear" w:pos="2748"/>
              <w:tab w:val="clear" w:pos="3664"/>
              <w:tab w:val="clear" w:pos="4580"/>
              <w:tab w:val="clear" w:pos="5496"/>
              <w:tab w:val="clear" w:pos="6412"/>
              <w:tab w:val="clear" w:pos="7328"/>
              <w:tab w:val="clear" w:pos="8244"/>
              <w:tab w:val="clear" w:pos="9160"/>
              <w:tab w:val="clear" w:pos="10076"/>
              <w:tab w:val="clear" w:pos="10992"/>
              <w:tab w:val="clear" w:pos="11908"/>
              <w:tab w:val="clear" w:pos="12824"/>
              <w:tab w:val="clear" w:pos="13740"/>
              <w:tab w:val="clear" w:pos="14656"/>
            </w:tabs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10" w:afterAutospacing="0" w:line="240" w:lineRule="auto"/>
            <w:ind w:left="420" w:leftChars="200" w:right="0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import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matplotlib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pyplot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682AEF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as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plt</w:t>
          </w:r>
        </w:p>
        <w:p w14:paraId="725A7454">
          <w:pPr>
            <w:pStyle w:val="5"/>
            <w:keepNext w:val="0"/>
            <w:keepLines w:val="0"/>
            <w:pageBreakBefore w:val="0"/>
            <w:widowControl/>
            <w:suppressLineNumbers w:val="0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pBdr>
            <w:shd w:val="clear" w:fill="F5F5F5"/>
            <w:tabs>
              <w:tab w:val="clear" w:pos="916"/>
              <w:tab w:val="clear" w:pos="1832"/>
              <w:tab w:val="clear" w:pos="2748"/>
              <w:tab w:val="clear" w:pos="3664"/>
              <w:tab w:val="clear" w:pos="4580"/>
              <w:tab w:val="clear" w:pos="5496"/>
              <w:tab w:val="clear" w:pos="6412"/>
              <w:tab w:val="clear" w:pos="7328"/>
              <w:tab w:val="clear" w:pos="8244"/>
              <w:tab w:val="clear" w:pos="9160"/>
              <w:tab w:val="clear" w:pos="10076"/>
              <w:tab w:val="clear" w:pos="10992"/>
              <w:tab w:val="clear" w:pos="11908"/>
              <w:tab w:val="clear" w:pos="12824"/>
              <w:tab w:val="clear" w:pos="13740"/>
              <w:tab w:val="clear" w:pos="14656"/>
            </w:tabs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10" w:afterAutospacing="0" w:line="240" w:lineRule="auto"/>
            <w:ind w:left="420" w:leftChars="200" w:right="0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import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seaborn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682AEF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as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sns</w:t>
          </w:r>
        </w:p>
        <w:p w14:paraId="2FD35986">
          <w:pPr>
            <w:pStyle w:val="5"/>
            <w:keepNext w:val="0"/>
            <w:keepLines w:val="0"/>
            <w:pageBreakBefore w:val="0"/>
            <w:widowControl/>
            <w:suppressLineNumbers w:val="0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pBdr>
            <w:shd w:val="clear" w:fill="F5F5F5"/>
            <w:tabs>
              <w:tab w:val="clear" w:pos="916"/>
              <w:tab w:val="clear" w:pos="1832"/>
              <w:tab w:val="clear" w:pos="2748"/>
              <w:tab w:val="clear" w:pos="3664"/>
              <w:tab w:val="clear" w:pos="4580"/>
              <w:tab w:val="clear" w:pos="5496"/>
              <w:tab w:val="clear" w:pos="6412"/>
              <w:tab w:val="clear" w:pos="7328"/>
              <w:tab w:val="clear" w:pos="8244"/>
              <w:tab w:val="clear" w:pos="9160"/>
              <w:tab w:val="clear" w:pos="10076"/>
              <w:tab w:val="clear" w:pos="10992"/>
              <w:tab w:val="clear" w:pos="11908"/>
              <w:tab w:val="clear" w:pos="12824"/>
              <w:tab w:val="clear" w:pos="13740"/>
              <w:tab w:val="clear" w:pos="14656"/>
            </w:tabs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10" w:afterAutospacing="0" w:line="240" w:lineRule="auto"/>
            <w:ind w:left="420" w:leftChars="200" w:right="0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</w:pPr>
        </w:p>
        <w:p w14:paraId="2407B6DA">
          <w:pPr>
            <w:pStyle w:val="5"/>
            <w:keepNext w:val="0"/>
            <w:keepLines w:val="0"/>
            <w:pageBreakBefore w:val="0"/>
            <w:widowControl/>
            <w:suppressLineNumbers w:val="0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pBdr>
            <w:shd w:val="clear" w:fill="F5F5F5"/>
            <w:tabs>
              <w:tab w:val="clear" w:pos="916"/>
              <w:tab w:val="clear" w:pos="1832"/>
              <w:tab w:val="clear" w:pos="2748"/>
              <w:tab w:val="clear" w:pos="3664"/>
              <w:tab w:val="clear" w:pos="4580"/>
              <w:tab w:val="clear" w:pos="5496"/>
              <w:tab w:val="clear" w:pos="6412"/>
              <w:tab w:val="clear" w:pos="7328"/>
              <w:tab w:val="clear" w:pos="8244"/>
              <w:tab w:val="clear" w:pos="9160"/>
              <w:tab w:val="clear" w:pos="10076"/>
              <w:tab w:val="clear" w:pos="10992"/>
              <w:tab w:val="clear" w:pos="11908"/>
              <w:tab w:val="clear" w:pos="12824"/>
              <w:tab w:val="clear" w:pos="13740"/>
              <w:tab w:val="clear" w:pos="14656"/>
            </w:tabs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10" w:afterAutospacing="0" w:line="240" w:lineRule="auto"/>
            <w:ind w:left="420" w:leftChars="200" w:right="0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909090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# 流失率饼图</w:t>
          </w:r>
        </w:p>
        <w:p w14:paraId="65DEE8AC">
          <w:pPr>
            <w:pStyle w:val="5"/>
            <w:keepNext w:val="0"/>
            <w:keepLines w:val="0"/>
            <w:pageBreakBefore w:val="0"/>
            <w:widowControl/>
            <w:suppressLineNumbers w:val="0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pBdr>
            <w:shd w:val="clear" w:fill="F5F5F5"/>
            <w:tabs>
              <w:tab w:val="clear" w:pos="916"/>
              <w:tab w:val="clear" w:pos="1832"/>
              <w:tab w:val="clear" w:pos="2748"/>
              <w:tab w:val="clear" w:pos="3664"/>
              <w:tab w:val="clear" w:pos="4580"/>
              <w:tab w:val="clear" w:pos="5496"/>
              <w:tab w:val="clear" w:pos="6412"/>
              <w:tab w:val="clear" w:pos="7328"/>
              <w:tab w:val="clear" w:pos="8244"/>
              <w:tab w:val="clear" w:pos="9160"/>
              <w:tab w:val="clear" w:pos="10076"/>
              <w:tab w:val="clear" w:pos="10992"/>
              <w:tab w:val="clear" w:pos="11908"/>
              <w:tab w:val="clear" w:pos="12824"/>
              <w:tab w:val="clear" w:pos="13740"/>
              <w:tab w:val="clear" w:pos="14656"/>
            </w:tabs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10" w:afterAutospacing="0" w:line="240" w:lineRule="auto"/>
            <w:ind w:left="420" w:leftChars="200" w:right="0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churn_rate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 xml:space="preserve">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df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[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'Churn'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].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value_counts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()</w:t>
          </w:r>
        </w:p>
        <w:p w14:paraId="1AF8EE68">
          <w:pPr>
            <w:pStyle w:val="5"/>
            <w:keepNext w:val="0"/>
            <w:keepLines w:val="0"/>
            <w:pageBreakBefore w:val="0"/>
            <w:widowControl/>
            <w:suppressLineNumbers w:val="0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pBdr>
            <w:shd w:val="clear" w:fill="F5F5F5"/>
            <w:tabs>
              <w:tab w:val="clear" w:pos="916"/>
              <w:tab w:val="clear" w:pos="1832"/>
              <w:tab w:val="clear" w:pos="2748"/>
              <w:tab w:val="clear" w:pos="3664"/>
              <w:tab w:val="clear" w:pos="4580"/>
              <w:tab w:val="clear" w:pos="5496"/>
              <w:tab w:val="clear" w:pos="6412"/>
              <w:tab w:val="clear" w:pos="7328"/>
              <w:tab w:val="clear" w:pos="8244"/>
              <w:tab w:val="clear" w:pos="9160"/>
              <w:tab w:val="clear" w:pos="10076"/>
              <w:tab w:val="clear" w:pos="10992"/>
              <w:tab w:val="clear" w:pos="11908"/>
              <w:tab w:val="clear" w:pos="12824"/>
              <w:tab w:val="clear" w:pos="13740"/>
              <w:tab w:val="clear" w:pos="14656"/>
            </w:tabs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10" w:afterAutospacing="0" w:line="240" w:lineRule="auto"/>
            <w:ind w:left="420" w:leftChars="200" w:right="0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plt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pie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churn_rate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labels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=[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'留存'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'流失'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 xml:space="preserve">],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autopct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'%1.1f%%'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)</w:t>
          </w:r>
        </w:p>
        <w:p w14:paraId="7FBACBB3">
          <w:pPr>
            <w:pStyle w:val="5"/>
            <w:keepNext w:val="0"/>
            <w:keepLines w:val="0"/>
            <w:pageBreakBefore w:val="0"/>
            <w:widowControl/>
            <w:suppressLineNumbers w:val="0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pBdr>
            <w:shd w:val="clear" w:fill="F5F5F5"/>
            <w:tabs>
              <w:tab w:val="clear" w:pos="916"/>
              <w:tab w:val="clear" w:pos="1832"/>
              <w:tab w:val="clear" w:pos="2748"/>
              <w:tab w:val="clear" w:pos="3664"/>
              <w:tab w:val="clear" w:pos="4580"/>
              <w:tab w:val="clear" w:pos="5496"/>
              <w:tab w:val="clear" w:pos="6412"/>
              <w:tab w:val="clear" w:pos="7328"/>
              <w:tab w:val="clear" w:pos="8244"/>
              <w:tab w:val="clear" w:pos="9160"/>
              <w:tab w:val="clear" w:pos="10076"/>
              <w:tab w:val="clear" w:pos="10992"/>
              <w:tab w:val="clear" w:pos="11908"/>
              <w:tab w:val="clear" w:pos="12824"/>
              <w:tab w:val="clear" w:pos="13740"/>
              <w:tab w:val="clear" w:pos="14656"/>
            </w:tabs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10" w:afterAutospacing="0" w:line="240" w:lineRule="auto"/>
            <w:ind w:left="420" w:leftChars="200" w:right="0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plt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title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'客户流失率分布'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)</w:t>
          </w:r>
        </w:p>
        <w:p w14:paraId="32AA92CE">
          <w:pPr>
            <w:pStyle w:val="5"/>
            <w:keepNext w:val="0"/>
            <w:keepLines w:val="0"/>
            <w:pageBreakBefore w:val="0"/>
            <w:widowControl/>
            <w:suppressLineNumbers w:val="0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pBdr>
            <w:shd w:val="clear" w:fill="F5F5F5"/>
            <w:tabs>
              <w:tab w:val="clear" w:pos="916"/>
              <w:tab w:val="clear" w:pos="1832"/>
              <w:tab w:val="clear" w:pos="2748"/>
              <w:tab w:val="clear" w:pos="3664"/>
              <w:tab w:val="clear" w:pos="4580"/>
              <w:tab w:val="clear" w:pos="5496"/>
              <w:tab w:val="clear" w:pos="6412"/>
              <w:tab w:val="clear" w:pos="7328"/>
              <w:tab w:val="clear" w:pos="8244"/>
              <w:tab w:val="clear" w:pos="9160"/>
              <w:tab w:val="clear" w:pos="10076"/>
              <w:tab w:val="clear" w:pos="10992"/>
              <w:tab w:val="clear" w:pos="11908"/>
              <w:tab w:val="clear" w:pos="12824"/>
              <w:tab w:val="clear" w:pos="13740"/>
              <w:tab w:val="clear" w:pos="14656"/>
            </w:tabs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10" w:afterAutospacing="0" w:line="240" w:lineRule="auto"/>
            <w:ind w:left="420" w:leftChars="200" w:right="0"/>
            <w:textAlignment w:val="auto"/>
            <w:rPr>
              <w:rFonts w:hint="eastAsia" w:ascii="Consolas" w:hAnsi="宋体" w:eastAsia="宋体" w:cs="宋体"/>
              <w:sz w:val="21"/>
              <w:szCs w:val="24"/>
              <w:shd w:val="clear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plt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show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()</w:t>
          </w:r>
        </w:p>
      </w:sdtContent>
    </w:sdt>
    <w:p w14:paraId="468940BE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（2）关键特征与流失关系分析</w:t>
      </w:r>
    </w:p>
    <w:p w14:paraId="7981376D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通过柱状图对比不同特征取值下的流失率，识别高风险群体：</w:t>
      </w:r>
    </w:p>
    <w:sdt>
      <w:sdtPr>
        <w:rPr>
          <w:rFonts w:hint="eastAsia" w:ascii="Consolas" w:hAnsi="宋体" w:eastAsia="宋体" w:cs="宋体"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  <w:id w:val="147476165"/>
        <w:placeholder>
          <w:docPart w:val="{3d257d7d-8e16-44b1-950d-8d70531e6bda}"/>
        </w:placeholder>
        <w15:appearance w15:val="hidden"/>
      </w:sdtPr>
      <w:sdtEndPr>
        <w:rPr>
          <w:rFonts w:hint="eastAsia" w:ascii="Consolas" w:hAnsi="宋体" w:eastAsia="宋体" w:cs="宋体"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</w:sdtEndPr>
      <w:sdtContent>
        <w:p w14:paraId="2A70ADE0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90909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# 合同类型与流失率</w:t>
          </w:r>
        </w:p>
        <w:p w14:paraId="41DFD86D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contract_churn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df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groupby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'Contract'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)[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'Churn'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].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mean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()</w:t>
          </w:r>
        </w:p>
        <w:p w14:paraId="7096CFF1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contract_churn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plot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kind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'bar'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6A130856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plt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title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'不同合同类型下的流失率'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0D31DAF6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plt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xlabel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'合同类型'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2E5AF17B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plt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ylabel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'流失率'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2A333291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0F1115"/>
              <w:spacing w:val="0"/>
              <w:sz w:val="21"/>
              <w:szCs w:val="24"/>
              <w:shd w:val="clear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plt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show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()</w:t>
          </w:r>
        </w:p>
      </w:sdtContent>
    </w:sdt>
    <w:p w14:paraId="03A415FD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leftChars="0" w:right="0" w:rightChars="0" w:firstLine="0" w:firstLineChars="0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（3）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相关性热力图</w:t>
      </w:r>
    </w:p>
    <w:sdt>
      <w:sdtPr>
        <w:rPr>
          <w:rFonts w:hint="eastAsia" w:ascii="Consolas" w:hAnsi="宋体" w:eastAsia="宋体" w:cs="宋体"/>
          <w:b/>
          <w:bCs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  <w:id w:val="147476093"/>
        <w:placeholder>
          <w:docPart w:val="{a212cf10-deb2-4278-9794-919ad8a25cef}"/>
        </w:placeholder>
        <w15:appearance w15:val="hidden"/>
      </w:sdtPr>
      <w:sdtEndPr>
        <w:rPr>
          <w:rFonts w:hint="eastAsia" w:ascii="Consolas" w:hAnsi="宋体" w:eastAsia="宋体" w:cs="宋体"/>
          <w:b/>
          <w:bCs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</w:sdtEndPr>
      <w:sdtContent>
        <w:p w14:paraId="105B0AE7">
          <w:pPr>
            <w:pStyle w:val="6"/>
            <w:keepNext w:val="0"/>
            <w:keepLines w:val="0"/>
            <w:pageBreakBefore w:val="0"/>
            <w:widowControl/>
            <w:numPr>
              <w:ilvl w:val="0"/>
              <w:numId w:val="0"/>
            </w:numPr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rightChars="0"/>
            <w:jc w:val="left"/>
            <w:textAlignment w:val="auto"/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90909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# 数值型特征相关性分析</w:t>
          </w:r>
        </w:p>
        <w:p w14:paraId="3761C88E">
          <w:pPr>
            <w:pStyle w:val="6"/>
            <w:keepNext w:val="0"/>
            <w:keepLines w:val="0"/>
            <w:pageBreakBefore w:val="0"/>
            <w:widowControl/>
            <w:numPr>
              <w:ilvl w:val="0"/>
              <w:numId w:val="0"/>
            </w:numPr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rightChars="0"/>
            <w:jc w:val="left"/>
            <w:textAlignment w:val="auto"/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numeric_cols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[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'tenure'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'MonthlyCharges'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'TotalCharges'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'Churn'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]</w:t>
          </w:r>
        </w:p>
        <w:p w14:paraId="72AA89D2">
          <w:pPr>
            <w:pStyle w:val="6"/>
            <w:keepNext w:val="0"/>
            <w:keepLines w:val="0"/>
            <w:pageBreakBefore w:val="0"/>
            <w:widowControl/>
            <w:numPr>
              <w:ilvl w:val="0"/>
              <w:numId w:val="0"/>
            </w:numPr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rightChars="0"/>
            <w:jc w:val="left"/>
            <w:textAlignment w:val="auto"/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plt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figure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figsize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=(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8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6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))</w:t>
          </w:r>
        </w:p>
        <w:p w14:paraId="48349C2B">
          <w:pPr>
            <w:pStyle w:val="6"/>
            <w:keepNext w:val="0"/>
            <w:keepLines w:val="0"/>
            <w:pageBreakBefore w:val="0"/>
            <w:widowControl/>
            <w:numPr>
              <w:ilvl w:val="0"/>
              <w:numId w:val="0"/>
            </w:numPr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rightChars="0"/>
            <w:jc w:val="left"/>
            <w:textAlignment w:val="auto"/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sns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heatmap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df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numeric_cols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].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corr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(), 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annot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True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cmap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'coolwarm'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2C2D19B0">
          <w:pPr>
            <w:pStyle w:val="6"/>
            <w:keepNext w:val="0"/>
            <w:keepLines w:val="0"/>
            <w:pageBreakBefore w:val="0"/>
            <w:widowControl/>
            <w:numPr>
              <w:ilvl w:val="0"/>
              <w:numId w:val="0"/>
            </w:numPr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rightChars="0"/>
            <w:jc w:val="left"/>
            <w:textAlignment w:val="auto"/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plt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title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'特征相关性热力图'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709F2440">
          <w:pPr>
            <w:pStyle w:val="6"/>
            <w:keepNext w:val="0"/>
            <w:keepLines w:val="0"/>
            <w:pageBreakBefore w:val="0"/>
            <w:widowControl/>
            <w:numPr>
              <w:ilvl w:val="0"/>
              <w:numId w:val="0"/>
            </w:numPr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rightChars="0"/>
            <w:jc w:val="left"/>
            <w:textAlignment w:val="auto"/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0F1115"/>
              <w:spacing w:val="0"/>
              <w:sz w:val="21"/>
              <w:szCs w:val="24"/>
              <w:shd w:val="clear"/>
            </w:rPr>
          </w:pP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plt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show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()</w:t>
          </w:r>
        </w:p>
      </w:sdtContent>
    </w:sdt>
    <w:p w14:paraId="7748CF54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 特征工程</w:t>
      </w:r>
    </w:p>
    <w:p w14:paraId="2025E026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（1）特征选择——卡方检验</w:t>
      </w:r>
    </w:p>
    <w:p w14:paraId="6EF32AC8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在完成类别变量编码后，采用 SelectKBest(chi2) 进行卡方特征选择，最终保留15个特征用于后续模型训练：</w:t>
      </w:r>
    </w:p>
    <w:sdt>
      <w:sdtPr>
        <w:rPr>
          <w:rFonts w:hint="eastAsia" w:ascii="Consolas" w:hAnsi="宋体" w:eastAsia="宋体" w:cs="宋体"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  <w:id w:val="147476025"/>
        <w:placeholder>
          <w:docPart w:val="{d3414bb9-ee89-4a88-9d4b-6de790af0abb}"/>
        </w:placeholder>
        <w15:appearance w15:val="hidden"/>
      </w:sdtPr>
      <w:sdtEndPr>
        <w:rPr>
          <w:rFonts w:hint="eastAsia" w:ascii="Consolas" w:hAnsi="宋体" w:eastAsia="宋体" w:cs="宋体"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</w:sdtEndPr>
      <w:sdtContent>
        <w:p w14:paraId="51161BBD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from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sklearn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feature_selection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import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SelectKBest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chi2</w:t>
          </w:r>
        </w:p>
        <w:p w14:paraId="304A265D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6883C39B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df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drop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([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'customerID'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'Churn'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],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axis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6499D124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y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df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'Churn'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]</w:t>
          </w:r>
        </w:p>
        <w:p w14:paraId="076FFCEA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740EC932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90909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# 卡方检验选择Top K特征</w:t>
          </w:r>
        </w:p>
        <w:p w14:paraId="2F582A9D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selector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SelectKBest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chi2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k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15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06F1951B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X_selected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selector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fit_transform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y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22693BB9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0F1115"/>
              <w:spacing w:val="0"/>
              <w:sz w:val="21"/>
              <w:szCs w:val="24"/>
              <w:shd w:val="clear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selected_features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columns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selector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get_support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()]</w:t>
          </w:r>
        </w:p>
      </w:sdtContent>
    </w:sdt>
    <w:p w14:paraId="69669222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（2）类别不平衡处理</w:t>
      </w:r>
    </w:p>
    <w:p w14:paraId="205815FA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由于流失客户仅占26.54%，存在一定的类别不平衡问题。采用SMOTE对训练数据中的少数类进行过采样，并将SMOTE放入模型Pipeline及交叉验证流程中，以避免数据泄漏：</w:t>
      </w:r>
    </w:p>
    <w:sdt>
      <w:sdtPr>
        <w:rPr>
          <w:rFonts w:hint="eastAsia" w:ascii="Consolas" w:hAnsi="宋体" w:eastAsia="宋体" w:cs="宋体"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  <w:id w:val="147475917"/>
        <w:placeholder>
          <w:docPart w:val="{bc86a7a3-bd79-4db0-a822-28be64c8db33}"/>
        </w:placeholder>
        <w15:appearance w15:val="hidden"/>
      </w:sdtPr>
      <w:sdtEndPr>
        <w:rPr>
          <w:rFonts w:hint="eastAsia" w:ascii="Consolas" w:hAnsi="宋体" w:eastAsia="宋体" w:cs="宋体"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</w:sdtEndPr>
      <w:sdtContent>
        <w:p w14:paraId="43CFE35E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from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imblearn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over_sampling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import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SMOTE</w:t>
          </w:r>
        </w:p>
        <w:p w14:paraId="1FA1118C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from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sklearn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model_selection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import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train_test_split</w:t>
          </w:r>
        </w:p>
        <w:p w14:paraId="0DE64D64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04B00292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X_train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X_test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y_train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y_test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train_test_split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</w:p>
        <w:p w14:paraId="651A4C02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X_selected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y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test_size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0.2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random_state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42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stratify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y</w:t>
          </w:r>
        </w:p>
        <w:p w14:paraId="717DA118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2CF6DEB1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674261BD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smote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SMOTE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random_state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42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43B442CD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0F1115"/>
              <w:spacing w:val="0"/>
              <w:sz w:val="21"/>
              <w:szCs w:val="24"/>
              <w:shd w:val="clear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X_train_balanced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y_train_balanced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smote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fit_resample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X_train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y_train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</w:sdtContent>
    </w:sdt>
    <w:p w14:paraId="0FF4E986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5.4 模型构建与训练</w:t>
      </w:r>
    </w:p>
    <w:p w14:paraId="2D346E59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（1）逻辑回归</w:t>
      </w:r>
    </w:p>
    <w:p w14:paraId="11730FE5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逻辑回归作为基线模型，具有良好的可解释性：</w:t>
      </w:r>
    </w:p>
    <w:sdt>
      <w:sdtPr>
        <w:rPr>
          <w:rFonts w:hint="eastAsia" w:ascii="Consolas" w:hAnsi="宋体" w:eastAsia="宋体" w:cs="宋体"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  <w:id w:val="147475848"/>
        <w:placeholder>
          <w:docPart w:val="{f85d2510-dbc8-4af2-835b-c6d7aa0b4b2b}"/>
        </w:placeholder>
        <w15:appearance w15:val="hidden"/>
      </w:sdtPr>
      <w:sdtEndPr>
        <w:rPr>
          <w:rFonts w:hint="eastAsia" w:ascii="Consolas" w:hAnsi="宋体" w:eastAsia="宋体" w:cs="宋体"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</w:sdtEndPr>
      <w:sdtContent>
        <w:p w14:paraId="6B505D3D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from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sklearn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linear_model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import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LogisticRegression</w:t>
          </w:r>
        </w:p>
        <w:p w14:paraId="0BFC567E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5E6A15C1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lr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LogisticRegression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max_iter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1000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random_state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42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30A7807D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lr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fit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X_train_balanced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y_train_balanced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3D745029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0F1115"/>
              <w:spacing w:val="0"/>
              <w:sz w:val="21"/>
              <w:szCs w:val="24"/>
              <w:shd w:val="clear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y_pred_lr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lr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predict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X_test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</w:sdtContent>
    </w:sdt>
    <w:p w14:paraId="401A0593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（2）随机森林</w:t>
      </w:r>
    </w:p>
    <w:p w14:paraId="18A6173A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随机森林通过集成多棵决策树提升预测性能</w:t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begin"/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instrText xml:space="preserve"> HYPERLINK "https://www.nature.com/articles/s41598-025-30108-z?utm" \l "1" \t "https://chat.deepseek.com/a/chat/s/_blank" </w:instrText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separate"/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end"/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begin"/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instrText xml:space="preserve"> HYPERLINK "https://onlinelibrary.wiley.com/doi/10.1155/acis/8496186?ContribAuthorRaw=Ayerko,+Emmanuel+Herson&amp;af=R&amp;content=articlesChapters&amp;mi=6e4y8xs&amp;target=default" \l "1" \t "https://chat.deepseek.com/a/chat/s/_blank" </w:instrText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separate"/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end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</w:t>
      </w:r>
    </w:p>
    <w:sdt>
      <w:sdtPr>
        <w:rPr>
          <w:rFonts w:hint="eastAsia" w:ascii="Consolas" w:hAnsi="宋体" w:eastAsia="宋体" w:cs="宋体"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  <w:id w:val="147475793"/>
        <w:placeholder>
          <w:docPart w:val="{c52026f2-2650-4454-8551-439ccd123b4c}"/>
        </w:placeholder>
        <w15:appearance w15:val="hidden"/>
      </w:sdtPr>
      <w:sdtEndPr>
        <w:rPr>
          <w:rFonts w:hint="eastAsia" w:ascii="Consolas" w:hAnsi="宋体" w:eastAsia="宋体" w:cs="宋体"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</w:sdtEndPr>
      <w:sdtContent>
        <w:p w14:paraId="44A19548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from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sklearn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ensemble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import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RandomForestClassifier</w:t>
          </w:r>
        </w:p>
        <w:p w14:paraId="5A5611B3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4A9EE053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rf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RandomForestClassifier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n_estimators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100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random_state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42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1BC917BA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rf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fit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X_train_balanced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y_train_balanced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3507088B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0F1115"/>
              <w:spacing w:val="0"/>
              <w:sz w:val="21"/>
              <w:szCs w:val="24"/>
              <w:shd w:val="clear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y_pred_rf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rf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predict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X_test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</w:sdtContent>
    </w:sdt>
    <w:p w14:paraId="13D6C3D7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（3）XGBoost</w:t>
      </w:r>
    </w:p>
    <w:p w14:paraId="7310E3A7">
      <w:pPr>
        <w:pStyle w:val="6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jc w:val="both"/>
        <w:textAlignment w:val="baseline"/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XGBoost作为一种高效的梯度提升算法，用于与其他模型进行流失预测性能对比：</w:t>
      </w:r>
      <w:r>
        <w:rPr>
          <w:rFonts w:hint="default" w:ascii="Calibri" w:hAnsi="Calibri" w:cs="Calibri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vertAlign w:val="baseline"/>
        </w:rPr>
        <w:br w:type="textWrapping"/>
      </w:r>
      <w:r>
        <w:rPr>
          <w:rFonts w:hint="default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（4）LightGBM</w:t>
      </w:r>
      <w:r>
        <w:rPr>
          <w:rFonts w:hint="default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br w:type="textWrapping"/>
      </w:r>
      <w:r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LightGBM采用基于直方图的梯度提升决策树方法，具有训练效率高、适合处理高维特征等特点，本项目将其作为候选模型参与客户流失预测。</w:t>
      </w:r>
      <w:r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br w:type="textWrapping"/>
      </w:r>
      <w:r>
        <w:rPr>
          <w:rFonts w:hint="default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（5）支持向量机（SVM）</w:t>
      </w:r>
      <w:r>
        <w:rPr>
          <w:rFonts w:hint="default" w:ascii="Calibri" w:hAnsi="Calibri" w:cs="Calibri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vertAlign w:val="baseline"/>
        </w:rPr>
        <w:br w:type="textWrapping"/>
      </w:r>
      <w:r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SVM通过寻找分类间隔较大的决策边界进行二分类预测，作为对比模型用于检验不同算法的适用性。</w:t>
      </w:r>
    </w:p>
    <w:sdt>
      <w:sdtPr>
        <w:rPr>
          <w:rFonts w:hint="eastAsia" w:ascii="Consolas" w:hAnsi="宋体" w:eastAsia="宋体" w:cs="宋体"/>
          <w:b/>
          <w:bCs/>
          <w:caps w:val="0"/>
          <w:color w:val="0F1115"/>
          <w:spacing w:val="0"/>
          <w:kern w:val="0"/>
          <w:sz w:val="21"/>
          <w:szCs w:val="24"/>
          <w:shd w:val="clear"/>
          <w:lang w:val="en-US" w:eastAsia="zh-CN" w:bidi="ar"/>
        </w:rPr>
        <w:id w:val="147471011"/>
        <w:placeholder>
          <w:docPart w:val="{521beddc-71f7-46f0-8069-cf4f6c0136b2}"/>
        </w:placeholder>
        <w15:appearance w15:val="hidden"/>
      </w:sdtPr>
      <w:sdtEndPr>
        <w:rPr>
          <w:rFonts w:hint="eastAsia" w:ascii="Consolas" w:hAnsi="宋体" w:eastAsia="宋体" w:cs="宋体"/>
          <w:b/>
          <w:bCs/>
          <w:caps w:val="0"/>
          <w:color w:val="0F1115"/>
          <w:spacing w:val="0"/>
          <w:kern w:val="0"/>
          <w:sz w:val="21"/>
          <w:szCs w:val="24"/>
          <w:shd w:val="clear"/>
          <w:lang w:val="en-US" w:eastAsia="zh-CN" w:bidi="ar"/>
        </w:rPr>
      </w:sdtEndPr>
      <w:sdtContent>
        <w:p w14:paraId="2806A857">
          <w:pPr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320" w:beforeAutospacing="0" w:after="160" w:afterAutospacing="0" w:line="240" w:lineRule="auto"/>
            <w:ind w:left="420" w:leftChars="200" w:right="0" w:firstLine="0"/>
            <w:jc w:val="left"/>
            <w:textAlignment w:val="auto"/>
            <w:outlineLvl w:val="9"/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</w:pPr>
          <w:r>
            <w:rPr>
              <w:rFonts w:hint="eastAsia" w:ascii="Consolas" w:hAnsi="宋体" w:eastAsia="宋体" w:cs="宋体"/>
              <w:b/>
              <w:bCs/>
              <w:caps w:val="0"/>
              <w:color w:val="1E5FC7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import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 xml:space="preserve"> 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C48200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xgboost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 xml:space="preserve"> 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682AEF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as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 xml:space="preserve"> 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xgb</w:t>
          </w:r>
        </w:p>
        <w:p w14:paraId="1F4B7A32">
          <w:pPr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320" w:beforeAutospacing="0" w:after="160" w:afterAutospacing="0" w:line="240" w:lineRule="auto"/>
            <w:ind w:left="420" w:leftChars="200" w:right="0" w:firstLine="0"/>
            <w:jc w:val="left"/>
            <w:textAlignment w:val="auto"/>
            <w:outlineLvl w:val="9"/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</w:pPr>
          <w:r>
            <w:rPr>
              <w:rFonts w:hint="eastAsia" w:ascii="Consolas" w:hAnsi="宋体" w:eastAsia="宋体" w:cs="宋体"/>
              <w:b/>
              <w:bCs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xgb_model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 xml:space="preserve"> = 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xgb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.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XGBClassifier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(</w:t>
          </w:r>
        </w:p>
        <w:p w14:paraId="6AEA116C">
          <w:pPr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320" w:beforeAutospacing="0" w:after="160" w:afterAutospacing="0" w:line="240" w:lineRule="auto"/>
            <w:ind w:left="420" w:leftChars="200" w:right="0" w:firstLine="0"/>
            <w:jc w:val="left"/>
            <w:textAlignment w:val="auto"/>
            <w:outlineLvl w:val="9"/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</w:pPr>
          <w:r>
            <w:rPr>
              <w:rFonts w:hint="eastAsia" w:ascii="Consolas" w:hAnsi="宋体" w:eastAsia="宋体" w:cs="宋体"/>
              <w:b/>
              <w:bCs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n_estimators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=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C48200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100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,</w:t>
          </w:r>
        </w:p>
        <w:p w14:paraId="6FF757B2">
          <w:pPr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320" w:beforeAutospacing="0" w:after="160" w:afterAutospacing="0" w:line="240" w:lineRule="auto"/>
            <w:ind w:left="420" w:leftChars="200" w:right="0" w:firstLine="0"/>
            <w:jc w:val="left"/>
            <w:textAlignment w:val="auto"/>
            <w:outlineLvl w:val="9"/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</w:pPr>
          <w:r>
            <w:rPr>
              <w:rFonts w:hint="eastAsia" w:ascii="Consolas" w:hAnsi="宋体" w:eastAsia="宋体" w:cs="宋体"/>
              <w:b/>
              <w:bCs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learning_rate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=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C48200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0.1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,</w:t>
          </w:r>
        </w:p>
        <w:p w14:paraId="5365735B">
          <w:pPr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320" w:beforeAutospacing="0" w:after="160" w:afterAutospacing="0" w:line="240" w:lineRule="auto"/>
            <w:ind w:left="420" w:leftChars="200" w:right="0" w:firstLine="0"/>
            <w:jc w:val="left"/>
            <w:textAlignment w:val="auto"/>
            <w:outlineLvl w:val="9"/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</w:pPr>
          <w:r>
            <w:rPr>
              <w:rFonts w:hint="eastAsia" w:ascii="Consolas" w:hAnsi="宋体" w:eastAsia="宋体" w:cs="宋体"/>
              <w:b/>
              <w:bCs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max_depth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=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C48200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6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,</w:t>
          </w:r>
        </w:p>
        <w:p w14:paraId="22940D64">
          <w:pPr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320" w:beforeAutospacing="0" w:after="160" w:afterAutospacing="0" w:line="240" w:lineRule="auto"/>
            <w:ind w:left="420" w:leftChars="200" w:right="0" w:firstLine="0"/>
            <w:jc w:val="left"/>
            <w:textAlignment w:val="auto"/>
            <w:outlineLvl w:val="9"/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</w:pPr>
          <w:r>
            <w:rPr>
              <w:rFonts w:hint="eastAsia" w:ascii="Consolas" w:hAnsi="宋体" w:eastAsia="宋体" w:cs="宋体"/>
              <w:b/>
              <w:bCs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random_state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=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C48200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42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,</w:t>
          </w:r>
        </w:p>
        <w:p w14:paraId="5479847A">
          <w:pPr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320" w:beforeAutospacing="0" w:after="160" w:afterAutospacing="0" w:line="240" w:lineRule="auto"/>
            <w:ind w:left="420" w:leftChars="200" w:right="0" w:firstLine="0"/>
            <w:jc w:val="left"/>
            <w:textAlignment w:val="auto"/>
            <w:outlineLvl w:val="9"/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</w:pPr>
          <w:r>
            <w:rPr>
              <w:rFonts w:hint="eastAsia" w:ascii="Consolas" w:hAnsi="宋体" w:eastAsia="宋体" w:cs="宋体"/>
              <w:b/>
              <w:bCs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scale_pos_weight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=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1E5FC7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len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(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y_train_balanced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[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y_train_balanced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==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C48200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0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 xml:space="preserve">]) / </w:t>
          </w:r>
        </w:p>
        <w:p w14:paraId="4DDBC4C9">
          <w:pPr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320" w:beforeAutospacing="0" w:after="160" w:afterAutospacing="0" w:line="240" w:lineRule="auto"/>
            <w:ind w:left="420" w:leftChars="200" w:right="0" w:firstLine="0"/>
            <w:jc w:val="left"/>
            <w:textAlignment w:val="auto"/>
            <w:outlineLvl w:val="9"/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</w:pPr>
          <w:r>
            <w:rPr>
              <w:rFonts w:hint="eastAsia" w:ascii="Consolas" w:hAnsi="宋体" w:eastAsia="宋体" w:cs="宋体"/>
              <w:b/>
              <w:bCs/>
              <w:caps w:val="0"/>
              <w:color w:val="1E5FC7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len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(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y_train_balanced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[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y_train_balanced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==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C48200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1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])</w:t>
          </w:r>
        </w:p>
        <w:p w14:paraId="75C97C6E">
          <w:pPr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320" w:beforeAutospacing="0" w:after="160" w:afterAutospacing="0" w:line="240" w:lineRule="auto"/>
            <w:ind w:left="420" w:leftChars="200" w:right="0" w:firstLine="0"/>
            <w:jc w:val="left"/>
            <w:textAlignment w:val="auto"/>
            <w:outlineLvl w:val="9"/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</w:pPr>
          <w:r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)</w:t>
          </w:r>
        </w:p>
        <w:p w14:paraId="5ED81582">
          <w:pPr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320" w:beforeAutospacing="0" w:after="160" w:afterAutospacing="0" w:line="240" w:lineRule="auto"/>
            <w:ind w:left="420" w:leftChars="200" w:right="0" w:firstLine="0"/>
            <w:jc w:val="left"/>
            <w:textAlignment w:val="auto"/>
            <w:outlineLvl w:val="9"/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</w:pPr>
          <w:r>
            <w:rPr>
              <w:rFonts w:hint="eastAsia" w:ascii="Consolas" w:hAnsi="宋体" w:eastAsia="宋体" w:cs="宋体"/>
              <w:b/>
              <w:bCs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xgb_model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.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fit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(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X_train_balanced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 xml:space="preserve">, 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y_train_balanced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)</w:t>
          </w:r>
        </w:p>
        <w:p w14:paraId="2E5C88AB">
          <w:pPr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320" w:beforeAutospacing="0" w:after="160" w:afterAutospacing="0" w:line="240" w:lineRule="auto"/>
            <w:ind w:left="420" w:leftChars="200" w:right="0" w:firstLine="0"/>
            <w:jc w:val="left"/>
            <w:textAlignment w:val="auto"/>
            <w:outlineLvl w:val="9"/>
            <w:rPr>
              <w:rFonts w:hint="eastAsia" w:ascii="Consolas" w:cs="宋体"/>
              <w:b/>
              <w:bCs/>
              <w:caps w:val="0"/>
              <w:color w:val="0F1115"/>
              <w:spacing w:val="0"/>
              <w:sz w:val="21"/>
              <w:szCs w:val="24"/>
              <w:shd w:val="clear"/>
              <w:lang w:val="en-US" w:eastAsia="zh-CN"/>
            </w:rPr>
          </w:pPr>
          <w:r>
            <w:rPr>
              <w:rFonts w:hint="eastAsia" w:ascii="Consolas" w:hAnsi="宋体" w:eastAsia="宋体" w:cs="宋体"/>
              <w:b/>
              <w:bCs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y_pred_xgb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 xml:space="preserve"> = 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xgb_model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.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predict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(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X_test</w:t>
          </w:r>
          <w:r>
            <w:rPr>
              <w:rFonts w:hint="eastAsia" w:ascii="Consolas" w:hAnsi="宋体" w:eastAsia="宋体" w:cs="宋体"/>
              <w:b/>
              <w:bCs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)</w:t>
          </w:r>
        </w:p>
      </w:sdtContent>
    </w:sdt>
    <w:p w14:paraId="1157C9A3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cs="宋体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cs="宋体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5.5 模型超参数调优</w:t>
      </w:r>
    </w:p>
    <w:p w14:paraId="0665ED8F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00" w:lineRule="atLeast"/>
        <w:ind w:left="0" w:right="0" w:firstLine="0"/>
        <w:textAlignment w:val="auto"/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为了进一步提升模型性能，本项目采用 GridSearchCV 结合 5 折交叉验证对每个模型进行超参数搜索。以 F1 分数作为优化目标，针对逻辑回归（C）、随机森林（n_estimators, max_depth）、XGBoost（learning_rate, max_depth, n_estimators）、LightGBM（learning_rate, num_leaves, n_estimators）、SVM（C, gamma）分别设置参数网格。通过遍历候选参数组合，选取交叉验证平均 F1 最高的组合作为最终模型参数。</w:t>
      </w:r>
    </w:p>
    <w:p w14:paraId="6BB67C8D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</w:t>
      </w:r>
      <w:r>
        <w:rPr>
          <w:rFonts w:hint="eastAsia" w:cs="宋体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6</w:t>
      </w: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  <w:t xml:space="preserve"> 模型可解释性——SHAP分析</w:t>
      </w:r>
    </w:p>
    <w:p w14:paraId="77DF55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atLeast"/>
        <w:textAlignment w:val="auto"/>
        <w:rPr>
          <w:rFonts w:hint="eastAsia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采用SHAP（Shapley Additive Explanations）分析最佳模型 LightGBM 的预测结果，识别客户流失的关键影响因素及其作用方向：</w:t>
      </w:r>
    </w:p>
    <w:sdt>
      <w:sdtPr>
        <w:rPr>
          <w:rFonts w:hint="eastAsia" w:ascii="Consolas" w:hAnsi="宋体" w:eastAsia="宋体" w:cs="宋体"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  <w:id w:val="147475646"/>
        <w:placeholder>
          <w:docPart w:val="{15200019-6c54-454a-b1e6-e570941d67d0}"/>
        </w:placeholder>
        <w15:appearance w15:val="hidden"/>
      </w:sdtPr>
      <w:sdtEndPr>
        <w:rPr>
          <w:rFonts w:hint="eastAsia" w:ascii="Consolas" w:hAnsi="宋体" w:eastAsia="宋体" w:cs="宋体"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</w:sdtEndPr>
      <w:sdtContent>
        <w:p w14:paraId="50FA223D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import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shap</w:t>
          </w:r>
        </w:p>
        <w:p w14:paraId="1BC084D3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133DE36B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90909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# 创建SHAP解释器</w:t>
          </w:r>
        </w:p>
        <w:p w14:paraId="6C948F05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explainer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shap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TreeExplainer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xgb_model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0829FB58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shap_values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explainer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shap_values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X_test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04BBE76A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77009C24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90909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# 特征重要性条形图</w:t>
          </w:r>
        </w:p>
        <w:p w14:paraId="003157E8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shap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summary_plot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shap_values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X_test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plot_type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"bar"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1AEFAE64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5A6E4B96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90909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# 特征影响分布图</w:t>
          </w:r>
        </w:p>
        <w:p w14:paraId="4C194C5C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0F1115"/>
              <w:spacing w:val="0"/>
              <w:sz w:val="21"/>
              <w:szCs w:val="24"/>
              <w:shd w:val="clear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shap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summary_plot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shap_values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X_test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</w:sdtContent>
    </w:sdt>
    <w:p w14:paraId="7352FB0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  <w:t>6 结果分析</w:t>
      </w:r>
    </w:p>
    <w:p w14:paraId="4BB4E47A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  <w:t>6.1 探索性数据分析结果</w:t>
      </w:r>
    </w:p>
    <w:p w14:paraId="1798983B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（1）流失率概况</w:t>
      </w:r>
    </w:p>
    <w:p w14:paraId="0D18B37D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-450850</wp:posOffset>
            </wp:positionH>
            <wp:positionV relativeFrom="paragraph">
              <wp:posOffset>12065</wp:posOffset>
            </wp:positionV>
            <wp:extent cx="2583180" cy="2771140"/>
            <wp:effectExtent l="0" t="0" r="7620" b="10160"/>
            <wp:wrapSquare wrapText="bothSides"/>
            <wp:docPr id="2" name="图片 2" descr="churn_rate_p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churn_rate_pie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83180" cy="2771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FF1C454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数据分析显示，数据集中流失客户占比约为26.5%，留存客户占比约为73.5%。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样本本身来看，流失客户约占四分之一，因此后续模型评估不能只关注准确率，还需要结合精确率、召回率和F1分数综合判断。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  <w:t xml:space="preserve">   </w:t>
      </w:r>
    </w:p>
    <w:p w14:paraId="2E9348FB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6BE7EB9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（2）关键流失驱动因素</w:t>
      </w:r>
    </w:p>
    <w:p w14:paraId="02F7CB49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通过单变量和双变量分析，发现以下因素与客户流失显著相关：</w:t>
      </w:r>
    </w:p>
    <w:p w14:paraId="6ABA7654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·在网时长（Tenure）：流失客户的在网时长整体明显低于留存客户，说明新入网或在网时间较短的客户更容易流失。</w:t>
      </w:r>
    </w:p>
    <w:p w14:paraId="7AAAB77B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·合同类型（Contract）：月度合同客户流失率最高，为42.71%；一年期和两年期合同客户分别为11.27%和2.83%，合同期限越长，流失率越低。</w:t>
      </w:r>
    </w:p>
    <w:p w14:paraId="51C183BD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·付款方式（PaymentMethod）：电子支票客户流失率最高，为45.29%，明显高于其他付款方式。</w:t>
      </w:r>
    </w:p>
    <w:p w14:paraId="20F80C03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·月费用（MonthlyCharges）：流失客户的月费用整体高于留存客户，说明较高月费用与流失风险存在一定关系。</w:t>
      </w:r>
    </w:p>
    <w:p w14:paraId="25EA0ADC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·附加服务订阅：未订阅 OnlineSecurity 和 TechSupport 等服务的客户流失率明显更高，相关服务具有一定的客户留存价值。           </w:t>
      </w:r>
    </w:p>
    <w:p w14:paraId="2BEDB489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（3）相关性分析</w:t>
      </w:r>
    </w:p>
    <w:p w14:paraId="5AF4A7EB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514350</wp:posOffset>
            </wp:positionH>
            <wp:positionV relativeFrom="paragraph">
              <wp:posOffset>1128395</wp:posOffset>
            </wp:positionV>
            <wp:extent cx="4257040" cy="3912870"/>
            <wp:effectExtent l="0" t="0" r="10160" b="11430"/>
            <wp:wrapTopAndBottom/>
            <wp:docPr id="6" name="图片 6" descr="correlation_heatm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correlation_heatmap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57040" cy="3912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相关性热力图显示，tenure 与 TotalCharges 的相关系数约为0.83，说明在网时间越长累计费用通常越高；MonthlyCharges 与 TotalCharges 的相关系数约为0.65。Churn 与 tenure 的相关系数约为-0.35，说明在网时间越短，流失倾向越明显；Churn 与 MonthlyCharges 的相关系数约为0.19。</w:t>
      </w:r>
    </w:p>
    <w:p w14:paraId="6A2E0D67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6704197A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                   图2：数值特征相关性热力图</w:t>
      </w:r>
    </w:p>
    <w:p w14:paraId="7A562AFF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default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（4）连续特征分布差异  </w:t>
      </w:r>
    </w:p>
    <w:p w14:paraId="78961422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-260350</wp:posOffset>
            </wp:positionH>
            <wp:positionV relativeFrom="paragraph">
              <wp:posOffset>1334770</wp:posOffset>
            </wp:positionV>
            <wp:extent cx="5817870" cy="5815965"/>
            <wp:effectExtent l="0" t="0" r="11430" b="635"/>
            <wp:wrapTopAndBottom/>
            <wp:docPr id="20" name="图片 20" descr="boxplots_chu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boxplots_churn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17870" cy="5815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通过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风琴</w:t>
      </w:r>
      <w:r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图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对比流失与留存客户在 tenure、MonthlyCharges 和 TotalCharges 上的分布。结果显示：流失客户 tenure 的中位数约为10个月，明显低于留存客户；流失客户 MonthlyCharges 的中位数约为80，高于留存客户约65；TotalCharges 方面，流失客户整体累计费用较低，主要与其在网时间较短有关。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  </w:t>
      </w:r>
    </w:p>
    <w:p w14:paraId="570EC89D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7B43A9C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                  图3：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流失与留存客户连续特征分布对比</w:t>
      </w:r>
    </w:p>
    <w:p w14:paraId="7652C5DD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leftChars="0" w:right="0" w:rightChars="0" w:firstLine="0" w:firstLineChars="0"/>
        <w:textAlignment w:val="auto"/>
        <w:rPr>
          <w:rFonts w:hint="default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（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5</w:t>
      </w:r>
      <w:r>
        <w:rPr>
          <w:rFonts w:hint="default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）</w:t>
      </w:r>
      <w:r>
        <w:rPr>
          <w:rFonts w:hint="default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分类特征流失率差异  </w:t>
      </w:r>
    </w:p>
    <w:p w14:paraId="105095D0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不同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分类变量的流失率存在明显差异。Contract 中月度合同流失率为42.71%，一年期为11.27%，两年期仅为2.83%；PaymentMethod 中电子支票最高，为45.29%；InternetService 中 Fiber optic 为41.89%，DSL 为18.96%，No 为7.40%。</w:t>
      </w:r>
    </w:p>
    <w:p w14:paraId="794CC094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</w:p>
    <w:p w14:paraId="555E695C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</w:p>
    <w:p w14:paraId="12DCB77A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</w:p>
    <w:p w14:paraId="2890EBE7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</w:p>
    <w:p w14:paraId="78A243D6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  <w:r>
        <w:rPr>
          <w:rFonts w:hint="default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-342900</wp:posOffset>
            </wp:positionH>
            <wp:positionV relativeFrom="paragraph">
              <wp:posOffset>-1219200</wp:posOffset>
            </wp:positionV>
            <wp:extent cx="5542280" cy="9262110"/>
            <wp:effectExtent l="0" t="0" r="7620" b="8890"/>
            <wp:wrapTopAndBottom/>
            <wp:docPr id="8" name="图片 8" descr="categorical_chu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categorical_churn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42280" cy="9262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此外，未订阅 OnlineSecurity 和 TechSupport 的客户流失率也分别到41.77%</w:t>
      </w:r>
    </w:p>
    <w:p w14:paraId="14E80B54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cs="宋体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 xml:space="preserve">和41.64%，说明合同期限、付款方式、互联网服务类型及增值服务与客户流失存在明显关联。 </w:t>
      </w:r>
      <w:r>
        <w:rPr>
          <w:rFonts w:hint="eastAsia" w:cs="宋体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   </w:t>
      </w:r>
    </w:p>
    <w:p w14:paraId="38156E46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default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  <w:lang w:val="en-US"/>
        </w:rPr>
      </w:pPr>
      <w:r>
        <w:rPr>
          <w:rFonts w:hint="eastAsia" w:cs="宋体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                    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图4：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不同分类特征下的流失率对比</w:t>
      </w:r>
    </w:p>
    <w:p w14:paraId="032B118B">
      <w:pPr>
        <w:pStyle w:val="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leftChars="0" w:right="0" w:rightChars="0" w:firstLine="0" w:firstLineChars="0"/>
        <w:textAlignment w:val="auto"/>
        <w:outlineLvl w:val="2"/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kern w:val="0"/>
          <w:sz w:val="24"/>
          <w:szCs w:val="24"/>
          <w:shd w:val="clear" w:fill="FFFFFF"/>
          <w:lang w:val="en-US" w:eastAsia="zh-CN" w:bidi="ar"/>
        </w:rPr>
        <w:t>（6）</w:t>
      </w: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  <w:t>客户聚类分析</w:t>
      </w:r>
    </w:p>
    <w:p w14:paraId="617541FD">
      <w:pPr>
        <w:pStyle w:val="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leftChars="0" w:right="0" w:rightChars="0" w:firstLine="0" w:firstLineChars="0"/>
        <w:textAlignment w:val="auto"/>
        <w:outlineLvl w:val="2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为进一步理解客户群体的内在结构，本项目采用 KMeans 聚类算法对客户进行分群分析。选取在网时长（tenure）、月费用（MonthlyCharges）、总费用（TotalCharges）和是否老年公民（SeniorCitizen）四个数值特征，经标准化处理后进行聚类，聚类数设为 3。为直观展示聚类结果，使用 PCA 将高维特征降维至二维平面进行可视化。</w:t>
      </w:r>
    </w:p>
    <w:p w14:paraId="760C46F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663565" cy="4617720"/>
            <wp:effectExtent l="0" t="0" r="635" b="5080"/>
            <wp:docPr id="9" name="图片 9" descr="customer_clust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customer_clusters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3565" cy="461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4A84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  图5：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KMeans客户分群可视化（PCA降维）</w:t>
      </w:r>
    </w:p>
    <w:p w14:paraId="261F2C55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如图 5 所示，三个聚类在降维空间中呈现较为清晰的分离态势。结合各聚类中心特征值分析可知：</w:t>
      </w:r>
    </w:p>
    <w:p w14:paraId="00DCEE0D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·聚类 0（</w:t>
      </w:r>
      <w:r>
        <w:rPr>
          <w:rFonts w:hint="eastAsia" w:cs="宋体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紫色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）：在网时长较短、月费用中等偏低，主要为新入网用户，流失风险相对较高；</w:t>
      </w:r>
    </w:p>
    <w:p w14:paraId="417D5BC0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·聚类 1（</w:t>
      </w:r>
      <w:r>
        <w:rPr>
          <w:rFonts w:hint="eastAsia" w:cs="宋体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蓝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绿色）：在网时长中等、月费用偏高，多为光纤网络高消费用户，价格敏感度较高；</w:t>
      </w:r>
    </w:p>
    <w:p w14:paraId="7527CECA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·聚类 2（</w:t>
      </w:r>
      <w:r>
        <w:rPr>
          <w:rFonts w:hint="eastAsia" w:cs="宋体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黄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色）：在网时长较长、总费用较高，主要为长期忠诚客户，月费用分布较广，但整体流失风险最低。</w:t>
      </w:r>
    </w:p>
    <w:p w14:paraId="68D8D551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聚类结果进一步说明，不同客户群体具有不同的流失特征。聚类0虽然客户数量较少，但流失率最高，可作为重点关注群体；聚类2客户数量最多且流失率处于中等水平，需要进行常规风险监测；聚类1在网时间和累计费用较高，流失率最低，整体稳定性较好。</w:t>
      </w:r>
    </w:p>
    <w:p w14:paraId="7E503335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6.2 模型评估结果</w:t>
      </w:r>
    </w:p>
    <w:p w14:paraId="58BE2EC5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采用准确率（Accuracy）、精确率（Precision）、召回率（Recall）、F1分数和ROC-AUC等指标对模型进行评估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，其中重点关注流失类的Precision、Recall和F1分数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fldChar w:fldCharType="begin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instrText xml:space="preserve"> HYPERLINK "https://onlinelibrary.wiley.com/doi/10.1155/acis/8496186?ContribAuthorRaw=Ayerko,+Emmanuel+Herson&amp;af=R&amp;content=articlesChapters&amp;mi=6e4y8xs&amp;target=default" \l "1" \t "https://chat.deepseek.com/a/chat/s/_blank" </w:instrTex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fldChar w:fldCharType="separate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fldChar w:fldCharType="end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：</w:t>
      </w:r>
    </w:p>
    <w:p w14:paraId="0FC04D37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-1200150</wp:posOffset>
            </wp:positionH>
            <wp:positionV relativeFrom="paragraph">
              <wp:posOffset>3810</wp:posOffset>
            </wp:positionV>
            <wp:extent cx="7633970" cy="4016375"/>
            <wp:effectExtent l="0" t="0" r="11430" b="9525"/>
            <wp:wrapTopAndBottom/>
            <wp:docPr id="10" name="图片 10" descr="model_comparis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model_comparison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633970" cy="4016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96057D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                   图6：各模型性能对比条形图</w:t>
      </w:r>
    </w:p>
    <w:p w14:paraId="6F07E66B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表2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96"/>
        <w:gridCol w:w="1183"/>
        <w:gridCol w:w="1573"/>
        <w:gridCol w:w="1573"/>
        <w:gridCol w:w="1190"/>
        <w:gridCol w:w="1431"/>
      </w:tblGrid>
      <w:tr w14:paraId="240A6C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B8C6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模型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6BF2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准确率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F5C8E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精确率（流失类）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168EA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召回率（流失类）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1E8E7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F1分数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DF3F0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ROC-AUC</w:t>
            </w:r>
          </w:p>
        </w:tc>
      </w:tr>
      <w:tr w14:paraId="25D83D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930FBA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逻辑回归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DFA96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73.60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A2A1B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50.17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F98E4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79.41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78555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61.49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BA655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8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3.63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%</w:t>
            </w:r>
          </w:p>
        </w:tc>
      </w:tr>
      <w:tr w14:paraId="312533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ADB4C4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随机森林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0869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77.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86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EBAFD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57.31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642D8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64.97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42A80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60.90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AB52A8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8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3.51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%</w:t>
            </w:r>
          </w:p>
        </w:tc>
      </w:tr>
      <w:tr w14:paraId="76FA0F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62AB23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XGBoost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535AC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76.3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5109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54.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16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E08C7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71.39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A2380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61.59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CBED3E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8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3.98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%</w:t>
            </w:r>
          </w:p>
        </w:tc>
      </w:tr>
      <w:tr w14:paraId="0F6ACE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D8E78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LightGBM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A19C9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7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8.28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47D6D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58.59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9C041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62.03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B0A43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60.26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53BE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8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4.04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%</w:t>
            </w:r>
          </w:p>
        </w:tc>
      </w:tr>
      <w:tr w14:paraId="6420F3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DA275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SVM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F36FD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69.41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C4356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45.75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C5E78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82.09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262E9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5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8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.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76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22DF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79.37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%</w:t>
            </w:r>
          </w:p>
        </w:tc>
      </w:tr>
      <w:tr w14:paraId="0D9CF1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5E36F4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Logistic Regression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92E10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73.53%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ED78B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50.08%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8E977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79.68%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5B94B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61.51%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2F243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83.78%</w:t>
            </w:r>
          </w:p>
        </w:tc>
      </w:tr>
    </w:tbl>
    <w:p w14:paraId="1BF8D55F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从评估结果可以看出：</w:t>
      </w:r>
    </w:p>
    <w:p w14:paraId="461D4C1B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1. 经超参数调优后，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XGBoost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在 F1 分数（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61.59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%）和 ROC-AUC（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83.98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%）上取得最佳综合性能，成为本项目的最佳模型。</w:t>
      </w:r>
    </w:p>
    <w:p w14:paraId="3660F0DB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2. 集成学习方法（随机森林、XGBoost、LightGBM）整体优于逻辑回归和 SVM，验证了集成学习在流失预测中的优势。</w:t>
      </w:r>
    </w:p>
    <w:p w14:paraId="6764C9A7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bookmarkStart w:id="0" w:name="_GoBack"/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1174750</wp:posOffset>
            </wp:positionH>
            <wp:positionV relativeFrom="paragraph">
              <wp:posOffset>2660015</wp:posOffset>
            </wp:positionV>
            <wp:extent cx="3420745" cy="3439160"/>
            <wp:effectExtent l="0" t="0" r="8255" b="2540"/>
            <wp:wrapTopAndBottom/>
            <wp:docPr id="16" name="图片 16" descr="confusion_matri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confusion_matrix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0745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0"/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3. 各模型召回率在 59%~66% 之间，仍有约 35% 的流失客户未被识别，类别不平衡和特征覆盖不足仍是主要瓶颈。</w:t>
      </w:r>
    </w:p>
    <w:p w14:paraId="4B66F74D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4. 最佳模型的超参数为：learning_rate=0.1, max_depth=6, n_estimators=100。</w:t>
      </w:r>
    </w:p>
    <w:p w14:paraId="243A51EC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  <w:t>基于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 xml:space="preserve">最佳 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  <w:t>XGBoost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 xml:space="preserve"> 模型的 SHAP 分析表明，Contract_Two year、PaymentMethod_Electronic check、tenure、Contract_One year、InternetService_Fiber optic、MonthlyCharges 和 OnlineSecurity_Yes 等特征具有较高的平均绝对 SHAP 值。整体来看，合同类型、付款方式、在网时长、互联网服务和月费用是模型重点关注的变量，分析结果与前面的流失率统计基本一致。和技术支持（TechSupport_No）等增值服务缺失也显著增加流失概率。</w:t>
      </w:r>
    </w:p>
    <w:p w14:paraId="13E6BBEF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5CA27722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right="0" w:firstLine="2400" w:firstLineChars="10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图7：最佳模型（XGBoost） 混淆矩阵                </w:t>
      </w:r>
    </w:p>
    <w:p w14:paraId="5B75F33B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right="0" w:firstLine="2400" w:firstLineChars="1000"/>
        <w:textAlignment w:val="auto"/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-209550</wp:posOffset>
            </wp:positionH>
            <wp:positionV relativeFrom="paragraph">
              <wp:posOffset>85090</wp:posOffset>
            </wp:positionV>
            <wp:extent cx="6011545" cy="4291330"/>
            <wp:effectExtent l="0" t="0" r="8255" b="1270"/>
            <wp:wrapTopAndBottom/>
            <wp:docPr id="17" name="图片 17" descr="roc_curv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roc_curves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11545" cy="4291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        图8：ROC曲线对比</w:t>
      </w:r>
    </w:p>
    <w:p w14:paraId="2812715A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  <w:t>6.3 可视化展示</w:t>
      </w:r>
    </w:p>
    <w:p w14:paraId="7142841E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（1）流失率分布饼图：直观展示流失客户与留存客户的比例。</w:t>
      </w:r>
    </w:p>
    <w:p w14:paraId="5C39E310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（2）流失驱动因素柱状图：对比不同合同类型、付款方式、在网时长区间下的流失率差异。</w:t>
      </w:r>
    </w:p>
    <w:p w14:paraId="18E3356C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（3）特征相关性热力图：展示各数值型特征之间的相关关系。</w:t>
      </w:r>
    </w:p>
    <w:p w14:paraId="2803475D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（4）模型性能对比图：以条形图或雷达图对比各模型的评估指标。</w:t>
      </w:r>
    </w:p>
    <w:p w14:paraId="4C7B4B44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（5）SHAP特征重要性图：展示各特征对模型预测结果的贡献度。</w:t>
      </w:r>
    </w:p>
    <w:p w14:paraId="7536EA6E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drawing>
          <wp:inline distT="0" distB="0" distL="114300" distR="114300">
            <wp:extent cx="6323965" cy="4209415"/>
            <wp:effectExtent l="0" t="0" r="635" b="6985"/>
            <wp:docPr id="18" name="图片 18" descr="shap_feature_importa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shap_feature_importance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23965" cy="420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5991A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                图9：SHAP 特征重要性（条形图）</w:t>
      </w:r>
    </w:p>
    <w:p w14:paraId="71D91C09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（6）Pyecharts组合大屏：整合多个图表，构建交互式可视化仪表板。</w:t>
      </w:r>
    </w:p>
    <w:p w14:paraId="0A8363C8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（7）箱线图：展示流失与留存客户在连续特征上的分布差异。</w:t>
      </w:r>
    </w:p>
    <w:p w14:paraId="7D6BD584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（8）分类特征流失率图：对比不同合同类型、付款方式、网络服务下的流失率。</w:t>
      </w:r>
    </w:p>
    <w:p w14:paraId="6506D0B4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drawing>
          <wp:inline distT="0" distB="0" distL="114300" distR="114300">
            <wp:extent cx="5273675" cy="4947920"/>
            <wp:effectExtent l="0" t="0" r="9525" b="5080"/>
            <wp:docPr id="19" name="图片 19" descr="shap_summary_pl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shap_summary_plot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94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1DA2B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                 图10：SHAP 特征影响分布图（蜂群图）</w:t>
      </w:r>
    </w:p>
    <w:p w14:paraId="0E7D83FF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  <w:t>7 AI辅助过程</w:t>
      </w:r>
    </w:p>
    <w:p w14:paraId="7A986705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本项目在代码优化、方法梳理和文档表达过程中使用 AI 作为辅助工具，但最终实验口径、代码修改、运行验证和结果判断由人工完成。按照项目要求，AI 辅助过程采用“Prompt → AI 初始内容 → 人工修改 → 最终成果”的方式记录。</w:t>
      </w:r>
    </w:p>
    <w:p w14:paraId="2D18133C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表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 AI辅助与人工优化过程</w:t>
      </w:r>
    </w:p>
    <w:tbl>
      <w:tblPr>
        <w:tblStyle w:val="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3780"/>
        <w:gridCol w:w="3211"/>
      </w:tblGrid>
      <w:tr w14:paraId="07F8E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FFFFFF"/>
          </w:tcPr>
          <w:p w14:paraId="5506FE8A">
            <w:pPr>
              <w:pStyle w:val="6"/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before="160" w:beforeAutospacing="0" w:after="160" w:afterAutospacing="0" w:line="400" w:lineRule="atLeast"/>
              <w:ind w:left="0" w:right="0" w:firstLine="0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阶段</w:t>
            </w:r>
          </w:p>
        </w:tc>
        <w:tc>
          <w:tcPr>
            <w:tcW w:w="37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</w:tcPr>
          <w:p w14:paraId="321DF034">
            <w:pPr>
              <w:pStyle w:val="6"/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before="160" w:beforeAutospacing="0" w:after="160" w:afterAutospacing="0" w:line="400" w:lineRule="atLeast"/>
              <w:ind w:left="0" w:right="0" w:firstLine="0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示例 Prompt / AI 初始作用</w:t>
            </w:r>
          </w:p>
        </w:tc>
        <w:tc>
          <w:tcPr>
            <w:tcW w:w="321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</w:tcPr>
          <w:p w14:paraId="278DBE09">
            <w:pPr>
              <w:pStyle w:val="6"/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before="160" w:beforeAutospacing="0" w:after="160" w:afterAutospacing="0" w:line="400" w:lineRule="atLeast"/>
              <w:ind w:left="0" w:right="0" w:firstLine="0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人工优化</w:t>
            </w:r>
          </w:p>
        </w:tc>
      </w:tr>
      <w:tr w14:paraId="1B5551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1489D49">
            <w:pPr>
              <w:pStyle w:val="6"/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before="160" w:beforeAutospacing="0" w:after="160" w:afterAutospacing="0" w:line="400" w:lineRule="atLeast"/>
              <w:ind w:left="0" w:right="0" w:firstLine="0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数据预处理</w:t>
            </w:r>
          </w:p>
        </w:tc>
        <w:tc>
          <w:tcPr>
            <w:tcW w:w="37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91EB72A">
            <w:pPr>
              <w:pStyle w:val="6"/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before="160" w:beforeAutospacing="0" w:after="160" w:afterAutospacing="0" w:line="400" w:lineRule="atLeast"/>
              <w:ind w:left="0" w:right="0" w:firstLine="0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“请设计电信客户流失数据集的 EDA 与缺失值处理代码。”</w:t>
            </w:r>
          </w:p>
        </w:tc>
        <w:tc>
          <w:tcPr>
            <w:tcW w:w="321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9DD767F">
            <w:pPr>
              <w:pStyle w:val="6"/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before="160" w:beforeAutospacing="0" w:after="160" w:afterAutospacing="0" w:line="400" w:lineRule="atLeast"/>
              <w:ind w:left="0" w:right="0" w:firstLine="0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核对 TotalCharges 实际数据结构，改为数值转换后中位数填补，并保留 7,043 条样本。</w:t>
            </w:r>
          </w:p>
        </w:tc>
      </w:tr>
      <w:tr w14:paraId="747748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4660D19">
            <w:pPr>
              <w:pStyle w:val="6"/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before="160" w:beforeAutospacing="0" w:after="160" w:afterAutospacing="0" w:line="400" w:lineRule="atLeast"/>
              <w:ind w:left="0" w:right="0" w:firstLine="0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类别不平衡</w:t>
            </w:r>
          </w:p>
        </w:tc>
        <w:tc>
          <w:tcPr>
            <w:tcW w:w="37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7A13543">
            <w:pPr>
              <w:pStyle w:val="6"/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before="160" w:beforeAutospacing="0" w:after="160" w:afterAutospacing="0" w:line="400" w:lineRule="atLeast"/>
              <w:ind w:left="0" w:right="0" w:firstLine="0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“如何用 SMOTE 处理客户流失数据集中的类别不平衡？”</w:t>
            </w:r>
          </w:p>
        </w:tc>
        <w:tc>
          <w:tcPr>
            <w:tcW w:w="321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63F82BB">
            <w:pPr>
              <w:pStyle w:val="6"/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before="160" w:beforeAutospacing="0" w:after="160" w:afterAutospacing="0" w:line="400" w:lineRule="atLeast"/>
              <w:ind w:left="0" w:right="0" w:firstLine="0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发现原流程把 SMOTE 放在 GridSearchCV 外部存在潜在泄漏，将 SelectKBest、SMOTE、Scaler 与模型统一放入 Pipeline。</w:t>
            </w:r>
          </w:p>
        </w:tc>
      </w:tr>
      <w:tr w14:paraId="31462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FBEE646">
            <w:pPr>
              <w:pStyle w:val="6"/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before="160" w:beforeAutospacing="0" w:after="160" w:afterAutospacing="0" w:line="400" w:lineRule="atLeast"/>
              <w:ind w:left="0" w:right="0" w:firstLine="0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模型评估</w:t>
            </w:r>
          </w:p>
        </w:tc>
        <w:tc>
          <w:tcPr>
            <w:tcW w:w="37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E84BD69">
            <w:pPr>
              <w:pStyle w:val="6"/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before="160" w:beforeAutospacing="0" w:after="160" w:afterAutospacing="0" w:line="400" w:lineRule="atLeast"/>
              <w:ind w:left="0" w:right="0" w:firstLine="0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“比较五种分类模型并给出 Accuracy、Precision、Recall、F1、ROC-AUC。”</w:t>
            </w:r>
          </w:p>
        </w:tc>
        <w:tc>
          <w:tcPr>
            <w:tcW w:w="321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214508E">
            <w:pPr>
              <w:pStyle w:val="6"/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before="160" w:beforeAutospacing="0" w:after="160" w:afterAutospacing="0" w:line="400" w:lineRule="atLeast"/>
              <w:ind w:left="0" w:right="0" w:firstLine="0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统一测试集、随机种子和 F1 排序规则，所有报告指标直接取最终 model_performance.csv。</w:t>
            </w:r>
          </w:p>
        </w:tc>
      </w:tr>
      <w:tr w14:paraId="23F4D4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1F18B32">
            <w:pPr>
              <w:pStyle w:val="6"/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before="160" w:beforeAutospacing="0" w:after="160" w:afterAutospacing="0" w:line="400" w:lineRule="atLeast"/>
              <w:ind w:left="0" w:right="0" w:firstLine="0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模型解释</w:t>
            </w:r>
          </w:p>
        </w:tc>
        <w:tc>
          <w:tcPr>
            <w:tcW w:w="37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89F1A18">
            <w:pPr>
              <w:pStyle w:val="6"/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before="160" w:beforeAutospacing="0" w:after="160" w:afterAutospacing="0" w:line="400" w:lineRule="atLeast"/>
              <w:ind w:left="0" w:right="0" w:firstLine="0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“请解释 SHAP 在客户流失预测中的应用。”</w:t>
            </w:r>
          </w:p>
        </w:tc>
        <w:tc>
          <w:tcPr>
            <w:tcW w:w="321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D6DB474">
            <w:pPr>
              <w:pStyle w:val="6"/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before="160" w:beforeAutospacing="0" w:after="160" w:afterAutospacing="0" w:line="400" w:lineRule="atLeast"/>
              <w:ind w:left="0" w:right="0" w:firstLine="0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只对最终最佳树模型进行 SHAP；若最佳模型为线性/SVM，则改用置换重要性。</w:t>
            </w:r>
          </w:p>
        </w:tc>
      </w:tr>
      <w:tr w14:paraId="16BA87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C84917D">
            <w:pPr>
              <w:pStyle w:val="6"/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before="160" w:beforeAutospacing="0" w:after="160" w:afterAutospacing="0" w:line="400" w:lineRule="atLeast"/>
              <w:ind w:left="0" w:right="0" w:firstLine="0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文档与答辩</w:t>
            </w:r>
          </w:p>
        </w:tc>
        <w:tc>
          <w:tcPr>
            <w:tcW w:w="37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7242771">
            <w:pPr>
              <w:pStyle w:val="6"/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before="160" w:beforeAutospacing="0" w:after="160" w:afterAutospacing="0" w:line="400" w:lineRule="atLeast"/>
              <w:ind w:left="0" w:right="0" w:firstLine="0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“将项目代码结果整理成课程报告和 PPT。”</w:t>
            </w:r>
          </w:p>
        </w:tc>
        <w:tc>
          <w:tcPr>
            <w:tcW w:w="321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EA3F237">
            <w:pPr>
              <w:pStyle w:val="6"/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before="160" w:beforeAutospacing="0" w:after="160" w:afterAutospacing="0" w:line="400" w:lineRule="atLeast"/>
              <w:ind w:left="0" w:right="0" w:firstLine="0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逐项核对代码、图表、指标和文字，删除原 PPT 中与最终运行结果冲突的 LightGBM 最优表述。</w:t>
            </w:r>
          </w:p>
        </w:tc>
      </w:tr>
    </w:tbl>
    <w:p w14:paraId="73B34A1C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最终成果与 AI 初始内容的主要差异在于：一是以实际运行结果为准，而不是沿用旧版本指标；二是修复了 SMOTE 在交叉验证外执行可能造成的数据泄漏；三是补充了客户风险等级输出；四是将报告和 PPT 中的最佳模型统一为 XGBoost，并统一采用最终代码生成的指标。</w:t>
      </w:r>
    </w:p>
    <w:p w14:paraId="4398913C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  <w:t>8 总结</w:t>
      </w:r>
    </w:p>
    <w:p w14:paraId="0A6F8A47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本项目围绕电信客户流失数据分析与可视化任务，完成了从数据预处理、探索性分析、特征工程、模型构建到结果可视化的完整流程。主要成果包括：</w:t>
      </w:r>
    </w:p>
    <w:p w14:paraId="7992E391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（1）数据洞察：通过EDA分析，识别出在网时长、合同类型、月费用和付款方式是客户流失的关键驱动因素，为运营商制定针对性的挽留策略提供了数据支撑。</w:t>
      </w:r>
    </w:p>
    <w:p w14:paraId="6016CC76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（2）预测模型：构建并比较了逻辑回归、随机森林、XGBoost、LightGBM 和 SVM 五种模型，并通过 GridSearchCV 进行超参数调优。其中 XGBoost 综合性能最优，F1 分数达到 58.84%，ROC-AUC 为 81.31%，验证了梯度提升集成方法在该任务上的有效性。</w:t>
      </w:r>
    </w:p>
    <w:p w14:paraId="67A0C88D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（3）可解释性分析：通过SHAP值分析揭示了各特征对流失预测的具体影响方向和程度，增强了模型的可信度和业务可操作性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fldChar w:fldCharType="begin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instrText xml:space="preserve"> HYPERLINK "https://www.nature.com/articles/s41598-025-30108-z?utm" \l "1" \t "https://chat.deepseek.com/a/chat/s/_blank" </w:instrTex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fldChar w:fldCharType="separate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fldChar w:fldCharType="end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。</w:t>
      </w:r>
    </w:p>
    <w:p w14:paraId="670F425B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（4）可视化展示：通过多种图表形式直观呈现了分析结果，包括流失率分布、特征对比、模型性能评估等。</w:t>
      </w:r>
    </w:p>
    <w:p w14:paraId="7F61F87B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项目创新点：</w:t>
      </w:r>
    </w:p>
    <w:p w14:paraId="74A8897C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·综合运用多种机器学习模型进行对比分析，系统评估了不同方法在流失预测任务中的优劣</w:t>
      </w:r>
    </w:p>
    <w:p w14:paraId="4939373B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·引入SHAP可解释性分析，将"黑箱"预测转化为可理解、可操作的业务洞察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fldChar w:fldCharType="begin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instrText xml:space="preserve"> HYPERLINK "https://iaj.aktuaris.or.id/index.php/iaj/article/view/25" \t "https://chat.deepseek.com/a/chat/s/_blank" </w:instrTex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fldChar w:fldCharType="separate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fldChar w:fldCharType="end"/>
      </w:r>
    </w:p>
    <w:p w14:paraId="76FE956C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·采用SMOTE技术有效处理了类别不平衡问题，提升了模型对流失客户的识别能力</w:t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begin"/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instrText xml:space="preserve"> HYPERLINK "https://www.nature.com/articles/s41598-025-30108-z?utm" \l "1" \t "https://chat.deepseek.com/a/chat/s/_blank" </w:instrText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separate"/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end"/>
      </w:r>
    </w:p>
    <w:p w14:paraId="6D5CC3BD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改进方向：</w:t>
      </w:r>
    </w:p>
    <w:p w14:paraId="076C6A22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·可引入深度学习模型（如LSTM、DeepFM）进一步捕捉客户行为的时间动态特征</w:t>
      </w:r>
    </w:p>
    <w:p w14:paraId="3C647010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·可整合多源数据（如客服通话记录、社交媒体交互等）构建更全面的客户画像</w:t>
      </w:r>
    </w:p>
    <w:p w14:paraId="18E22694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·可将预测模型与CRM系统集成，实现从"预测"到"行动"的端到端自动化挽留流程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fldChar w:fldCharType="begin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instrText xml:space="preserve"> HYPERLINK "https://www.nature.com/articles/s41598-025-30108-z?utm" \l "1" \t "https://chat.deepseek.com/a/chat/s/_blank" </w:instrTex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fldChar w:fldCharType="separate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fldChar w:fldCharType="end"/>
      </w:r>
    </w:p>
    <w:p w14:paraId="38BFB764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·可探索实时流失预测方案，在客户行为变化的早期阶段即发出预警</w:t>
      </w:r>
    </w:p>
    <w:p w14:paraId="5082CB08">
      <w:pPr>
        <w:keepNext w:val="0"/>
        <w:keepLines w:val="0"/>
        <w:pageBreakBefore w:val="0"/>
        <w:kinsoku/>
        <w:overflowPunct/>
        <w:topLinePunct w:val="0"/>
        <w:autoSpaceDE/>
        <w:autoSpaceDN/>
        <w:bidi w:val="0"/>
        <w:adjustRightInd/>
        <w:snapToGrid/>
        <w:spacing w:line="40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8970892"/>
    <w:rsid w:val="14EA24B1"/>
    <w:rsid w:val="18970892"/>
    <w:rsid w:val="19157D18"/>
    <w:rsid w:val="1A0C111B"/>
    <w:rsid w:val="26573321"/>
    <w:rsid w:val="2F544C9F"/>
    <w:rsid w:val="341C464E"/>
    <w:rsid w:val="39BB3AC3"/>
    <w:rsid w:val="422C3859"/>
    <w:rsid w:val="4703102D"/>
    <w:rsid w:val="47090A88"/>
    <w:rsid w:val="50615016"/>
    <w:rsid w:val="50760AC1"/>
    <w:rsid w:val="51B86EB8"/>
    <w:rsid w:val="565E0ED6"/>
    <w:rsid w:val="57072A34"/>
    <w:rsid w:val="5BAA7871"/>
    <w:rsid w:val="65F76F29"/>
    <w:rsid w:val="69F66377"/>
    <w:rsid w:val="753D12FE"/>
    <w:rsid w:val="759C66A0"/>
    <w:rsid w:val="75E8126A"/>
    <w:rsid w:val="770A7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rPr>
      <w:sz w:val="24"/>
    </w:rPr>
  </w:style>
  <w:style w:type="table" w:styleId="8">
    <w:name w:val="Table Grid"/>
    <w:basedOn w:val="7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TML Code"/>
    <w:basedOn w:val="9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glossaryDocument" Target="glossary/document.xml"/><Relationship Id="rId15" Type="http://schemas.openxmlformats.org/officeDocument/2006/relationships/fontTable" Target="fontTable.xml"/><Relationship Id="rId14" Type="http://schemas.openxmlformats.org/officeDocument/2006/relationships/customXml" Target="../customXml/item1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{fa1ec7cd-d920-45ce-804a-6501fe665cad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fa1ec7cd-d920-45ce-804a-6501fe665cad}"/>
      </w:docPartPr>
      <w:docPartBody>
        <w:p w14:paraId="54461D9A"/>
      </w:docPartBody>
    </w:docPart>
    <w:docPart>
      <w:docPartPr>
        <w:name w:val="{d8623941-99ae-4815-9d1a-cec25f06888f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d8623941-99ae-4815-9d1a-cec25f06888f}"/>
      </w:docPartPr>
      <w:docPartBody>
        <w:p w14:paraId="0D6C9FBD"/>
      </w:docPartBody>
    </w:docPart>
    <w:docPart>
      <w:docPartPr>
        <w:name w:val="{d0490d2d-5883-480c-8fd6-3ca4f5d5e9c2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d0490d2d-5883-480c-8fd6-3ca4f5d5e9c2}"/>
      </w:docPartPr>
      <w:docPartBody>
        <w:p w14:paraId="222AFFED"/>
      </w:docPartBody>
    </w:docPart>
    <w:docPart>
      <w:docPartPr>
        <w:name w:val="{4047310b-e118-49a2-a0e8-8b883467a20d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4047310b-e118-49a2-a0e8-8b883467a20d}"/>
      </w:docPartPr>
      <w:docPartBody>
        <w:p w14:paraId="78B23F7E"/>
      </w:docPartBody>
    </w:docPart>
    <w:docPart>
      <w:docPartPr>
        <w:name w:val="{3d257d7d-8e16-44b1-950d-8d70531e6bda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3d257d7d-8e16-44b1-950d-8d70531e6bda}"/>
      </w:docPartPr>
      <w:docPartBody>
        <w:p w14:paraId="5E0102D9"/>
      </w:docPartBody>
    </w:docPart>
    <w:docPart>
      <w:docPartPr>
        <w:name w:val="{a212cf10-deb2-4278-9794-919ad8a25cef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a212cf10-deb2-4278-9794-919ad8a25cef}"/>
      </w:docPartPr>
      <w:docPartBody>
        <w:p w14:paraId="25DDC72F"/>
      </w:docPartBody>
    </w:docPart>
    <w:docPart>
      <w:docPartPr>
        <w:name w:val="{d3414bb9-ee89-4a88-9d4b-6de790af0abb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d3414bb9-ee89-4a88-9d4b-6de790af0abb}"/>
      </w:docPartPr>
      <w:docPartBody>
        <w:p w14:paraId="315A3B93"/>
      </w:docPartBody>
    </w:docPart>
    <w:docPart>
      <w:docPartPr>
        <w:name w:val="{bc86a7a3-bd79-4db0-a822-28be64c8db33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bc86a7a3-bd79-4db0-a822-28be64c8db33}"/>
      </w:docPartPr>
      <w:docPartBody>
        <w:p w14:paraId="5D618DCA"/>
      </w:docPartBody>
    </w:docPart>
    <w:docPart>
      <w:docPartPr>
        <w:name w:val="{f85d2510-dbc8-4af2-835b-c6d7aa0b4b2b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f85d2510-dbc8-4af2-835b-c6d7aa0b4b2b}"/>
      </w:docPartPr>
      <w:docPartBody>
        <w:p w14:paraId="6E6EBA25"/>
      </w:docPartBody>
    </w:docPart>
    <w:docPart>
      <w:docPartPr>
        <w:name w:val="{c52026f2-2650-4454-8551-439ccd123b4c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c52026f2-2650-4454-8551-439ccd123b4c}"/>
      </w:docPartPr>
      <w:docPartBody>
        <w:p w14:paraId="64932DD7"/>
      </w:docPartBody>
    </w:docPart>
    <w:docPart>
      <w:docPartPr>
        <w:name w:val="{15200019-6c54-454a-b1e6-e570941d67d0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15200019-6c54-454a-b1e6-e570941d67d0}"/>
      </w:docPartPr>
      <w:docPartBody>
        <w:p w14:paraId="7F10A3F5"/>
      </w:docPartBody>
    </w:docPart>
    <w:docPart>
      <w:docPartPr>
        <w:name w:val="{521beddc-71f7-46f0-8069-cf4f6c0136b2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521beddc-71f7-46f0-8069-cf4f6c0136b2}"/>
      </w:docPartPr>
      <w:docPartBody>
        <w:p w14:paraId="7E27377A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compat>
    <w:useFELayout/>
    <w:splitPgBreakAndParaMark/>
    <w:compatSetting w:name="compatibilityMode" w:uri="http://schemas.microsoft.com/office/word" w:val="14"/>
  </w:compat>
  <w:rsids>
    <w:rsidRoot w:val="0000000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/>
</w:style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wpscustomsdt:customSdtData xmlns="http://www.wps.cn/officeDocument/2025/customizeSdt" xmlns:wpscustomsdt="http://www.wps.cn/officeDocument/2025/customizeSdt">
  <wpscustomsdt:sdtItem id="147477021" type="1" data="{&quot;codeLang&quot;:&quot;Python&quot;,&quot;isDarkTheme&quot;:0}"/>
  <wpscustomsdt:sdtItem id="147476560" type="1" data="{&quot;codeLang&quot;:&quot;Python&quot;,&quot;isDarkTheme&quot;:0}"/>
  <wpscustomsdt:sdtItem id="147476332" type="1" data="{&quot;codeLang&quot;:&quot;Python&quot;,&quot;isDarkTheme&quot;:0}"/>
  <wpscustomsdt:sdtItem id="147476263" type="1" data="{&quot;codeLang&quot;:&quot;Python&quot;,&quot;isDarkTheme&quot;:0}"/>
  <wpscustomsdt:sdtItem id="147476165" type="1" data="{&quot;codeLang&quot;:&quot;Python&quot;,&quot;isDarkTheme&quot;:0}"/>
  <wpscustomsdt:sdtItem id="147476093" type="1" data="{&quot;codeLang&quot;:&quot;Python&quot;,&quot;isDarkTheme&quot;:0}"/>
  <wpscustomsdt:sdtItem id="147476025" type="1" data="{&quot;codeLang&quot;:&quot;Python&quot;,&quot;isDarkTheme&quot;:0}"/>
  <wpscustomsdt:sdtItem id="147475917" type="1" data="{&quot;codeLang&quot;:&quot;Python&quot;,&quot;isDarkTheme&quot;:0}"/>
  <wpscustomsdt:sdtItem id="147475848" type="1" data="{&quot;codeLang&quot;:&quot;Python&quot;,&quot;isDarkTheme&quot;:0}"/>
  <wpscustomsdt:sdtItem id="147475793" type="1" data="{&quot;codeLang&quot;:&quot;Python&quot;,&quot;isDarkTheme&quot;:0}"/>
  <wpscustomsdt:sdtItem id="147471011" type="1" data="{&quot;codeLang&quot;:&quot;Python&quot;,&quot;isDarkTheme&quot;:0}"/>
  <wpscustomsdt:sdtItem id="147475646" type="1" data="{&quot;codeLang&quot;:&quot;Python&quot;,&quot;isDarkTheme&quot;:0}"/>
</wpscustomsdt:customSdtData>
</file>

<file path=customXml/itemProps1.xml><?xml version="1.0" encoding="utf-8"?>
<ds:datastoreItem xmlns:ds="http://schemas.openxmlformats.org/officeDocument/2006/customXml" ds:itemID="{07b8d20d-c3b6-49c6-a6a5-90182310726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23</Pages>
  <Words>5365</Words>
  <Characters>9602</Characters>
  <Lines>0</Lines>
  <Paragraphs>0</Paragraphs>
  <TotalTime>1</TotalTime>
  <ScaleCrop>false</ScaleCrop>
  <LinksUpToDate>false</LinksUpToDate>
  <CharactersWithSpaces>10495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2026-09-03T09:30:00Z</dcterms:created>
  <dc:creator>TAN90°</dc:creator>
  <cp:lastModifiedBy>TAN90°</cp:lastModifiedBy>
  <dcterms:modified xsi:type="dcterms:W3CDTF">2026-09-08T05:57:08Z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55B5EC8DFDA24BAA87EC41A17A6B3760_13</vt:lpwstr>
  </property>
  <property fmtid="{D5CDD505-2E9C-101B-9397-08002B2CF9AE}" pid="4" name="KSOTemplateDocerSaveRecord">
    <vt:lpwstr>eyJoZGlkIjoiMDdjNmU2MWZlMmUzMTNmYTE3ZGQ4NjNiMDNmOTA0YzYiLCJ1c2VySWQiOiIxNzEyMjYzNDM2In0=</vt:lpwstr>
  </property>
</Properties>
</file>