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CC0575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40" w:lineRule="atLeast"/>
        <w:ind w:left="0" w:right="0" w:firstLine="1928" w:firstLineChars="600"/>
        <w:rPr>
          <w:rFonts w:hint="eastAsia" w:ascii="黑体" w:hAnsi="黑体" w:eastAsia="黑体" w:cs="黑体"/>
          <w:b/>
          <w:bCs/>
          <w:caps w:val="0"/>
          <w:color w:val="0F1115"/>
          <w:spacing w:val="0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caps w:val="0"/>
          <w:color w:val="0F1115"/>
          <w:spacing w:val="0"/>
          <w:sz w:val="32"/>
          <w:szCs w:val="32"/>
          <w:shd w:val="clear" w:fill="FFFFFF"/>
        </w:rPr>
        <w:t>电信客户流失数据分析及可视化</w:t>
      </w:r>
    </w:p>
    <w:p w14:paraId="58674AD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1 团队成员组成及分工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0"/>
        <w:gridCol w:w="1225"/>
        <w:gridCol w:w="5095"/>
        <w:gridCol w:w="1026"/>
      </w:tblGrid>
      <w:tr w14:paraId="0CBF4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077BE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学号</w:t>
            </w:r>
          </w:p>
        </w:tc>
        <w:tc>
          <w:tcPr>
            <w:tcW w:w="1225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FEBA7B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姓名</w:t>
            </w:r>
          </w:p>
        </w:tc>
        <w:tc>
          <w:tcPr>
            <w:tcW w:w="5095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20A06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详细任务分工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4FD5E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工作量占比</w:t>
            </w:r>
          </w:p>
        </w:tc>
      </w:tr>
      <w:tr w14:paraId="6867C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EE5487">
            <w:pPr>
              <w:keepNext w:val="0"/>
              <w:keepLines w:val="0"/>
              <w:pageBreakBefore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25050603</w:t>
            </w:r>
          </w:p>
        </w:tc>
        <w:tc>
          <w:tcPr>
            <w:tcW w:w="122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BA5A4C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夏涵欣</w:t>
            </w:r>
          </w:p>
        </w:tc>
        <w:tc>
          <w:tcPr>
            <w:tcW w:w="509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44A4B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项目整体架构设计、数据处理与清洗、机器学习模型构建与优化、报告撰写、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数据可视化分析与图表制作、特征工程、模型评估与结果分析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984EEA">
            <w:pPr>
              <w:keepNext w:val="0"/>
              <w:keepLines w:val="0"/>
              <w:pageBreakBefore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100%</w:t>
            </w:r>
          </w:p>
        </w:tc>
      </w:tr>
    </w:tbl>
    <w:p w14:paraId="3A1D040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2 项目开发环境</w:t>
      </w:r>
    </w:p>
    <w:p w14:paraId="7D11C50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开发工具：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Visual Studio Code / Jupyter Notebook</w:t>
      </w:r>
    </w:p>
    <w:p w14:paraId="0416DD0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开发语言：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Python 3.9+</w:t>
      </w:r>
    </w:p>
    <w:p w14:paraId="229917C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主要开发库：</w:t>
      </w:r>
    </w:p>
    <w:p w14:paraId="39F60C9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·数据处理：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Pandas、NumPy</w:t>
      </w:r>
    </w:p>
    <w:p w14:paraId="71131DD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·数据可视化：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Matplotlib、Seaborn、Pyecharts</w:t>
      </w:r>
    </w:p>
    <w:p w14:paraId="6EFCE6A2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·机器学习：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Scikit-learn（Logistic Regression、Random Forest、SVM、KNN）、XGBoost、LightGBM</w:t>
      </w:r>
    </w:p>
    <w:p w14:paraId="25EFB718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·类别不平衡处理：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imbalanced-learn（SMOTE）</w:t>
      </w:r>
    </w:p>
    <w:p w14:paraId="08AE7F7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·模型可解释性：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SHAP</w:t>
      </w:r>
    </w:p>
    <w:p w14:paraId="76EB88B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3 数据说明</w:t>
      </w:r>
    </w:p>
    <w:p w14:paraId="7815074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本项目采用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IBM Telco Customer Churn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数据集，该数据集是电信客户流失分析领域最广泛使用的基准数据集之一。</w:t>
      </w:r>
    </w:p>
    <w:p w14:paraId="24692638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数据来源：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Kaggle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平台（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blastchar/telco-customer-churn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</w:t>
      </w:r>
    </w:p>
    <w:p w14:paraId="12BE877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样本个数：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7,043条客户记录</w:t>
      </w:r>
    </w:p>
    <w:p w14:paraId="64F9F25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特征种类与数目：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共21个特征（含目标变量），可分为以下几类：</w:t>
      </w:r>
    </w:p>
    <w:p w14:paraId="10398F1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表1</w:t>
      </w:r>
    </w:p>
    <w:tbl>
      <w:tblPr>
        <w:tblStyle w:val="7"/>
        <w:tblW w:w="93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3"/>
        <w:gridCol w:w="5492"/>
        <w:gridCol w:w="2335"/>
      </w:tblGrid>
      <w:tr w14:paraId="27044F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33" w:type="dxa"/>
            <w:tcBorders>
              <w:top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9D7316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特征类别</w:t>
            </w:r>
          </w:p>
        </w:tc>
        <w:tc>
          <w:tcPr>
            <w:tcW w:w="5492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60F4B2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特征名称</w:t>
            </w:r>
          </w:p>
        </w:tc>
        <w:tc>
          <w:tcPr>
            <w:tcW w:w="2335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F48B4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476D00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3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2E18E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客户ID</w:t>
            </w:r>
          </w:p>
        </w:tc>
        <w:tc>
          <w:tcPr>
            <w:tcW w:w="54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2D8C1C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customerID</w:t>
            </w:r>
          </w:p>
        </w:tc>
        <w:tc>
          <w:tcPr>
            <w:tcW w:w="2335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77DBA4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客户唯一标识</w:t>
            </w:r>
          </w:p>
        </w:tc>
      </w:tr>
      <w:tr w14:paraId="4166E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3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552BCE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人口统计特征</w:t>
            </w:r>
          </w:p>
        </w:tc>
        <w:tc>
          <w:tcPr>
            <w:tcW w:w="54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54FE57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gender, SeniorCitizen, Partner, Dependents</w:t>
            </w:r>
          </w:p>
        </w:tc>
        <w:tc>
          <w:tcPr>
            <w:tcW w:w="2335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B1D241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性别、是否老年人、是否有伴侣、是否有家属</w:t>
            </w:r>
          </w:p>
        </w:tc>
      </w:tr>
      <w:tr w14:paraId="15973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3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DF8DAE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账户信息</w:t>
            </w:r>
          </w:p>
        </w:tc>
        <w:tc>
          <w:tcPr>
            <w:tcW w:w="54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81F891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tenure, Contract, PaperlessBilling, PaymentMethod, MonthlyCharges, TotalCharges</w:t>
            </w:r>
          </w:p>
        </w:tc>
        <w:tc>
          <w:tcPr>
            <w:tcW w:w="2335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CF7EA6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在网时长、合同类型、是否电子账单、付款方式、月费用、总费用</w:t>
            </w:r>
          </w:p>
        </w:tc>
      </w:tr>
      <w:tr w14:paraId="2CDAB9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3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7E7E5E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服务订阅</w:t>
            </w:r>
          </w:p>
        </w:tc>
        <w:tc>
          <w:tcPr>
            <w:tcW w:w="54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1B427A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PhoneService, MultipleLines, InternetService, OnlineSecurity, OnlineBackup, DeviceProtection, TechSupport, StreamingTV, StreamingMovies</w:t>
            </w:r>
          </w:p>
        </w:tc>
        <w:tc>
          <w:tcPr>
            <w:tcW w:w="2335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7B4EC3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电话服务、多线路、互联网服务及各附加服务订阅情况</w:t>
            </w:r>
          </w:p>
        </w:tc>
      </w:tr>
      <w:tr w14:paraId="2F9335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3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5528C7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目标变量</w:t>
            </w:r>
          </w:p>
        </w:tc>
        <w:tc>
          <w:tcPr>
            <w:tcW w:w="5492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2F6D46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24"/>
                <w:szCs w:val="24"/>
                <w:lang w:val="en-US" w:eastAsia="zh-CN" w:bidi="ar"/>
              </w:rPr>
              <w:t>Churn</w:t>
            </w:r>
          </w:p>
        </w:tc>
        <w:tc>
          <w:tcPr>
            <w:tcW w:w="2335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121F7D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是否流失（Yes/No）</w:t>
            </w:r>
          </w:p>
        </w:tc>
      </w:tr>
    </w:tbl>
    <w:p w14:paraId="1809DDA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该数据集为IBM提供的模拟电信公司数据，描述了加州7043名客户在第三季度的家庭电话和互联网服务使用情况。</w:t>
      </w:r>
    </w:p>
    <w:p w14:paraId="4734A66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4 需求分析</w:t>
      </w:r>
    </w:p>
    <w:p w14:paraId="7B574742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4.1 系统目标</w:t>
      </w:r>
    </w:p>
    <w:p w14:paraId="4D9416A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构建一个完整的电信客户流失数据分析与可视化系统，实现以下核心功能：</w:t>
      </w:r>
    </w:p>
    <w:p w14:paraId="44E5E78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数据预处理与清洗：处理缺失值、异常值，进行数据类型转换和特征编码</w:t>
      </w:r>
    </w:p>
    <w:p w14:paraId="07E637F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探索性数据分析（EDA） ：通过统计分析和可视化手段，揭示流失客户与留存客户的特征差异</w:t>
      </w:r>
    </w:p>
    <w:p w14:paraId="6B2E049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客户流失预测：基于多种机器学习模型构建流失预测模型，识别高流失风险客户</w:t>
      </w:r>
    </w:p>
    <w:p w14:paraId="7CDBFE9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流失原因分析：通过特征重要性分析和SHAP可解释性分析，揭示客户流失的关键驱动因素</w:t>
      </w:r>
    </w:p>
    <w:p w14:paraId="46E31A1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8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5.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可视化展示：以直观的图表和仪表板呈现分析结果</w:t>
      </w:r>
    </w:p>
    <w:p w14:paraId="01B0881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4.2 功能模块</w:t>
      </w:r>
    </w:p>
    <w:p w14:paraId="45BC4338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 w:firstLine="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电信客户流失数据分析系统</w:t>
      </w:r>
    </w:p>
    <w:p w14:paraId="37783FF6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├── 数据预处理模块</w:t>
      </w:r>
    </w:p>
    <w:p w14:paraId="6A7CBDB9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缺失值处理</w:t>
      </w:r>
    </w:p>
    <w:p w14:paraId="19D70747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数据类型转换</w:t>
      </w:r>
    </w:p>
    <w:p w14:paraId="454D6E13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└── 特征编码（Label Encoding / One-Hot Encoding）</w:t>
      </w:r>
    </w:p>
    <w:p w14:paraId="61C1FD8E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├── 探索性分析模块</w:t>
      </w:r>
    </w:p>
    <w:p w14:paraId="542A6900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流失率统计（饼图）</w:t>
      </w:r>
    </w:p>
    <w:p w14:paraId="03C8D078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单变量分析（分布图）</w:t>
      </w:r>
    </w:p>
    <w:p w14:paraId="53C8A202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双变量分析（流失率对比柱状图）</w:t>
      </w:r>
    </w:p>
    <w:p w14:paraId="1F590C97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└── 相关性分析（热力图）</w:t>
      </w:r>
    </w:p>
    <w:p w14:paraId="35720689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├── 特征工程模块</w:t>
      </w:r>
    </w:p>
    <w:p w14:paraId="077D6699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特征选择（卡方检验 / 互信息）</w:t>
      </w:r>
    </w:p>
    <w:p w14:paraId="2A0F7E40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类别不平衡处理（SMOTE）</w:t>
      </w:r>
    </w:p>
    <w:p w14:paraId="3CC601E1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└── 数据标准化/归一化</w:t>
      </w:r>
    </w:p>
    <w:p w14:paraId="45767C3D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├── 模型训练与评估模块</w:t>
      </w:r>
    </w:p>
    <w:p w14:paraId="27235383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逻辑回归</w:t>
      </w:r>
    </w:p>
    <w:p w14:paraId="4124261E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随机森林</w:t>
      </w:r>
    </w:p>
    <w:p w14:paraId="5D72B013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XGBoost</w:t>
      </w:r>
    </w:p>
    <w:p w14:paraId="1F7A965D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├── LightGBM</w:t>
      </w:r>
    </w:p>
    <w:p w14:paraId="16244E99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└── 支持向量机（SVM）</w:t>
      </w:r>
    </w:p>
    <w:p w14:paraId="76D507A2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├── 模型可解释性模块</w:t>
      </w:r>
    </w:p>
    <w:p w14:paraId="708C625C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>│   └── SHAP值分析</w:t>
      </w:r>
    </w:p>
    <w:p w14:paraId="1200C13C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 xml:space="preserve">└── 可视化展示模块 </w:t>
      </w:r>
    </w:p>
    <w:p w14:paraId="16D5DFC2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 xml:space="preserve">   ├── Matplotlib/Seaborn静态图表</w:t>
      </w:r>
    </w:p>
    <w:p w14:paraId="1DE239DE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24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  <w:t xml:space="preserve">    └── Pyecharts交互式大屏</w:t>
      </w:r>
    </w:p>
    <w:p w14:paraId="28D7287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4.3 业务流程图</w:t>
      </w:r>
    </w:p>
    <w:p w14:paraId="1EC7F3B0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400" w:lineRule="atLeast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[原始数据] → [数据清洗] → [EDA分析] → [特征工程] → [模型训练] → [模型评估] → [结果可视化]                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↓              ↓              ↓              ↓               </w:t>
      </w:r>
    </w:p>
    <w:p w14:paraId="67DD6253">
      <w:pPr>
        <w:pStyle w:val="5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 w:val="0"/>
        <w:overflowPunct/>
        <w:topLinePunct w:val="0"/>
        <w:autoSpaceDE/>
        <w:autoSpaceDN/>
        <w:bidi w:val="0"/>
        <w:adjustRightInd/>
        <w:snapToGrid/>
        <w:spacing w:before="160" w:beforeAutospacing="0" w:after="110" w:afterAutospacing="0" w:line="400" w:lineRule="atLeast"/>
        <w:ind w:left="1606" w:leftChars="765" w:right="0" w:firstLine="0" w:firstLineChars="0"/>
        <w:textAlignment w:val="auto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[缺失值处理]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[流失率统计]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 [SMOTE平衡]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[交叉验证]               [类型转换] 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[特征分布] 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[特征选择]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 [超参数调优]             [编码处理]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 [流失对比]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 [标准化]    </w:t>
      </w:r>
      <w:r>
        <w:rPr>
          <w:rFonts w:hint="eastAsia" w:cs="宋体"/>
          <w:i w:val="0"/>
          <w:iCs w:val="0"/>
          <w:caps w:val="0"/>
          <w:color w:val="0F1115"/>
          <w:spacing w:val="0"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18"/>
          <w:szCs w:val="18"/>
        </w:rPr>
        <w:t xml:space="preserve">  [SHAP分析]</w:t>
      </w:r>
    </w:p>
    <w:p w14:paraId="4B33E298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 系统设计和实现</w:t>
      </w:r>
    </w:p>
    <w:p w14:paraId="142B8D7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5.1 数据预处理</w:t>
      </w:r>
    </w:p>
    <w:p w14:paraId="176155D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（1）数据加载与初步探索</w:t>
      </w:r>
    </w:p>
    <w:sdt>
      <w:sdtPr>
        <w:rPr>
          <w:rFonts w:hint="eastAsia" w:ascii="Consolas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7021"/>
        <w:placeholder>
          <w:docPart w:val="{fa1ec7cd-d920-45ce-804a-6501fe665cad}"/>
        </w:placeholder>
        <w15:appearance w15:val="hidden"/>
      </w:sdtPr>
      <w:sdtEndPr>
        <w:rPr>
          <w:rFonts w:hint="eastAsia" w:ascii="Consolas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117F3EF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pandas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682AEF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as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pd</w:t>
          </w:r>
        </w:p>
        <w:p w14:paraId="62160179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numpy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682AEF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as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</w:p>
        <w:p w14:paraId="1BA56A3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0D81F914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加载数据</w:t>
          </w:r>
        </w:p>
        <w:p w14:paraId="189E05F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pd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read_csv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'WA_Fn-UseC_-Telco-Customer-Churn.csv'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5D1DB919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32B0B60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查看数据基本信息</w:t>
          </w:r>
        </w:p>
        <w:p w14:paraId="57110C8C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print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info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())</w:t>
          </w:r>
        </w:p>
        <w:p w14:paraId="085C8B36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0F111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print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describe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())</w:t>
          </w:r>
        </w:p>
      </w:sdtContent>
    </w:sdt>
    <w:p w14:paraId="36BF5031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（2）缺失值处理</w:t>
      </w:r>
    </w:p>
    <w:p w14:paraId="482CDC0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TotalCharges列存在空白值（被识别为字符串类型），需要转换为数值类型并填充缺失值：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6560"/>
        <w:placeholder>
          <w:docPart w:val="{d8623941-99ae-4815-9d1a-cec25f06888f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3AD8F923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将TotalCharges转换为数值类型，无法转换的设为NaN</w:t>
          </w:r>
        </w:p>
        <w:p w14:paraId="41FBB30A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'TotalCharges'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to_numeric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'TotalCharges'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errors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'coerce'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36C7928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1F8A528C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用中位数填充缺失值</w:t>
          </w:r>
        </w:p>
        <w:p w14:paraId="343C1CF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'TotalCharges'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fillna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'TotalCharges'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median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(),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inplace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True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6BF8005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（3）特征编码</w:t>
      </w:r>
    </w:p>
    <w:p w14:paraId="0604B55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将分类特征转换为数值型，便于机器学习模型处理：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6332"/>
        <w:placeholder>
          <w:docPart w:val="{d0490d2d-5883-480c-8fd6-3ca4f5d5e9c2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6FC9BF15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sklearn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preprocessing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LabelEncoder</w:t>
          </w:r>
        </w:p>
        <w:p w14:paraId="60135FCE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493FD193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对二分类特征进行Label Encoding</w:t>
          </w:r>
        </w:p>
        <w:p w14:paraId="1D1F502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binary_cols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'gender'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'Partner'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'Dependents'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'PhoneService'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</w:p>
        <w:p w14:paraId="73977C12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'PaperlessBilling'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'Churn'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3C4A5E97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682AEF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for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binary_cols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762E246A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]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LabelEncoder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fit_transform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])</w:t>
          </w:r>
        </w:p>
        <w:p w14:paraId="1DBC8455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D282987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对多分类特征进行One-Hot Encoding</w:t>
          </w:r>
        </w:p>
        <w:p w14:paraId="78E329B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get_dummies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columns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'MultipleLines'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'InternetService'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</w:p>
        <w:p w14:paraId="68CE4CA9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'OnlineSecurity'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'OnlineBackup'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'DeviceProtection'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</w:p>
        <w:p w14:paraId="3C5E9FD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'TechSupport'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'StreamingTV'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'StreamingMovies'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</w:p>
        <w:p w14:paraId="298EB00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'Contract'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'PaymentMethod'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drop_first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True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52A5736C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5.2 探索性数据分析（EDA）</w:t>
      </w:r>
    </w:p>
    <w:p w14:paraId="584E4646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（1）流失率分析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0"/>
          <w:sz w:val="21"/>
          <w:szCs w:val="24"/>
          <w:shd w:val="clear"/>
          <w:lang w:val="en-US" w:eastAsia="zh-CN" w:bidi="ar"/>
        </w:rPr>
        <w:id w:val="147476263"/>
        <w:placeholder>
          <w:docPart w:val="{4047310b-e118-49a2-a0e8-8b883467a20d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383A42"/>
          <w:spacing w:val="0"/>
          <w:kern w:val="0"/>
          <w:sz w:val="21"/>
          <w:szCs w:val="24"/>
          <w:shd w:val="clear"/>
          <w:lang w:val="en-US" w:eastAsia="zh-CN" w:bidi="ar"/>
        </w:rPr>
      </w:sdtEndPr>
      <w:sdtContent>
        <w:p w14:paraId="21FBDD66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matplotlib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pyplot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682AEF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as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plt</w:t>
          </w:r>
        </w:p>
        <w:p w14:paraId="725A7454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seaborn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682AEF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as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sns</w:t>
          </w:r>
        </w:p>
        <w:p w14:paraId="2FD35986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</w:p>
        <w:p w14:paraId="2407B6DA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# 流失率饼图</w:t>
          </w:r>
        </w:p>
        <w:p w14:paraId="65DEE8AC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churn_rate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'Churn'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].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value_counts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()</w:t>
          </w:r>
        </w:p>
        <w:p w14:paraId="1AF8EE68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pie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churn_rate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labels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=[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'留存'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'流失'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 xml:space="preserve">],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autopct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'%1.1f%%'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)</w:t>
          </w:r>
        </w:p>
        <w:p w14:paraId="7FBACBB3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title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'客户流失率分布'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)</w:t>
          </w:r>
        </w:p>
        <w:p w14:paraId="32AA92CE">
          <w:pPr>
            <w:pStyle w:val="5"/>
            <w:keepNext w:val="0"/>
            <w:keepLines w:val="0"/>
            <w:pageBreakBefore w:val="0"/>
            <w:widowControl/>
            <w:suppressLineNumbers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shd w:val="clear" w:fill="F5F5F5"/>
            <w:tabs>
              <w:tab w:val="clear" w:pos="916"/>
              <w:tab w:val="clear" w:pos="1832"/>
              <w:tab w:val="clear" w:pos="2748"/>
              <w:tab w:val="clear" w:pos="3664"/>
              <w:tab w:val="clear" w:pos="4580"/>
              <w:tab w:val="clear" w:pos="5496"/>
              <w:tab w:val="clear" w:pos="6412"/>
              <w:tab w:val="clear" w:pos="7328"/>
              <w:tab w:val="clear" w:pos="8244"/>
              <w:tab w:val="clear" w:pos="9160"/>
              <w:tab w:val="clear" w:pos="10076"/>
              <w:tab w:val="clear" w:pos="10992"/>
              <w:tab w:val="clear" w:pos="11908"/>
              <w:tab w:val="clear" w:pos="12824"/>
              <w:tab w:val="clear" w:pos="13740"/>
              <w:tab w:val="clear" w:pos="14656"/>
            </w:tabs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10" w:afterAutospacing="0" w:line="240" w:lineRule="auto"/>
            <w:ind w:left="420" w:leftChars="200" w:right="0"/>
            <w:textAlignment w:val="auto"/>
            <w:rPr>
              <w:rFonts w:hint="eastAsia" w:ascii="Consolas" w:hAnsi="宋体" w:eastAsia="宋体" w:cs="宋体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show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0"/>
              <w:sz w:val="21"/>
              <w:szCs w:val="24"/>
              <w:shd w:val="clear"/>
              <w:lang w:val="en-US" w:eastAsia="zh-CN" w:bidi="ar"/>
            </w:rPr>
            <w:t>()</w:t>
          </w:r>
        </w:p>
      </w:sdtContent>
    </w:sdt>
    <w:p w14:paraId="468940B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（2）关键特征与流失关系分析</w:t>
      </w:r>
    </w:p>
    <w:p w14:paraId="7981376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通过柱状图对比不同特征取值下的流失率，识别高风险群体：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6165"/>
        <w:placeholder>
          <w:docPart w:val="{3d257d7d-8e16-44b1-950d-8d70531e6bda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2A70ADE0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合同类型与流失率</w:t>
          </w:r>
        </w:p>
        <w:p w14:paraId="41DFD86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contract_churn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groupby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'Contract'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'Churn'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mean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</w:t>
          </w:r>
        </w:p>
        <w:p w14:paraId="7096CFF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contract_churn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plot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kind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'bar'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A130856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title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'不同合同类型下的流失率'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D31DAF6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xlabel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'合同类型'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E5AF17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ylabel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'流失率'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A33329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show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</w:t>
          </w:r>
        </w:p>
      </w:sdtContent>
    </w:sdt>
    <w:p w14:paraId="03A415FD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相关性热力图</w:t>
      </w:r>
    </w:p>
    <w:sdt>
      <w:sdtPr>
        <w:rPr>
          <w:rFonts w:hint="eastAsia" w:ascii="Consolas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6093"/>
        <w:placeholder>
          <w:docPart w:val="{a212cf10-deb2-4278-9794-919ad8a25cef}"/>
        </w:placeholder>
        <w15:appearance w15:val="hidden"/>
      </w:sdtPr>
      <w:sdtEndPr>
        <w:rPr>
          <w:rFonts w:hint="eastAsia" w:ascii="Consolas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105B0AE7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数值型特征相关性分析</w:t>
          </w:r>
        </w:p>
        <w:p w14:paraId="3761C88E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numeric_cols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[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'tenure'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'MonthlyCharges'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'TotalCharges'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'Churn'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72AA89D2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figure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figsize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8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6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48349C2B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sns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heatmap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numeric_cols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corr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(),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annot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True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cmap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'coolwarm'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C2D19B0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title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'特征相关性热力图'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709F2440">
          <w:pPr>
            <w:pStyle w:val="6"/>
            <w:keepNext w:val="0"/>
            <w:keepLines w:val="0"/>
            <w:pageBreakBefore w:val="0"/>
            <w:widowControl/>
            <w:numPr>
              <w:ilvl w:val="0"/>
              <w:numId w:val="0"/>
            </w:numPr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rightChars="0"/>
            <w:jc w:val="left"/>
            <w:textAlignment w:val="auto"/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plt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show</w:t>
          </w:r>
          <w:r>
            <w:rPr>
              <w:rFonts w:hint="eastAsia" w:ascii="Consolas" w:hAnsi="宋体" w:eastAsia="宋体" w:cs="宋体"/>
              <w:b/>
              <w:bCs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</w:t>
          </w:r>
        </w:p>
      </w:sdtContent>
    </w:sdt>
    <w:p w14:paraId="7748CF5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 特征工程</w:t>
      </w:r>
    </w:p>
    <w:p w14:paraId="2025E026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（1）特征选择——卡方检验</w:t>
      </w:r>
    </w:p>
    <w:p w14:paraId="1B85A99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参考相关研究中的方法，采用卡方检验筛选对客户流失影响显著的特征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"https://wap.cnki.net/touch/web/Journal/Article/XDXK202510026.html"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6025"/>
        <w:placeholder>
          <w:docPart w:val="{d3414bb9-ee89-4a88-9d4b-6de790af0abb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51161BB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sklearn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feature_selection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SelectKBest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chi2</w:t>
          </w:r>
        </w:p>
        <w:p w14:paraId="304A265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883C39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drop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'customerID'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'Churn'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axis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499D124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df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'Churn'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076FFCEA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740EC932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卡方检验选择Top K特征</w:t>
          </w:r>
        </w:p>
        <w:p w14:paraId="2F582A9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selector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SelectKBest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chi2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k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15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6F1951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X_selected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selector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fit_transform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2693BB9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selected_features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columns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selector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get_support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()]</w:t>
          </w:r>
        </w:p>
      </w:sdtContent>
    </w:sdt>
    <w:p w14:paraId="69669222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（2）类别不平衡处理</w:t>
      </w:r>
    </w:p>
    <w:p w14:paraId="11B77B8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由于流失客户仅占约26.5%，存在类别不平衡问题，采用SMOTE技术进行过采样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"https://ieeexplore.ieee.org/abstract/document/11330530"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5917"/>
        <w:placeholder>
          <w:docPart w:val="{bc86a7a3-bd79-4db0-a822-28be64c8db33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43CFE35E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imblearn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over_sampling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SMOTE</w:t>
          </w:r>
        </w:p>
        <w:p w14:paraId="1FA1118C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sklearn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model_selection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train_test_split</w:t>
          </w:r>
        </w:p>
        <w:p w14:paraId="0DE64D64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04B00292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X_train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train_test_split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</w:p>
        <w:p w14:paraId="651A4C02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X_selected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test_size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0.2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random_state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42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stratify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</w:p>
        <w:p w14:paraId="717DA118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CF6DEB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74261B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smote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SMOTE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random_state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42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3B442C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smote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fit_resample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X_train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0FF4E98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5.4 模型构建与训练</w:t>
      </w:r>
    </w:p>
    <w:p w14:paraId="2D346E5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（1）逻辑回归</w:t>
      </w:r>
    </w:p>
    <w:p w14:paraId="11730FE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逻辑回归作为基线模型，具有良好的可解释性：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5848"/>
        <w:placeholder>
          <w:docPart w:val="{f85d2510-dbc8-4af2-835b-c6d7aa0b4b2b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6B505D3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sklearn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linear_model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LogisticRegression</w:t>
          </w:r>
        </w:p>
        <w:p w14:paraId="0BFC567E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5E6A15C1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LogisticRegression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max_iter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random_state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42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0A7807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D745029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y_pred_lr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predict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401A0593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（2）随机森林</w:t>
      </w:r>
    </w:p>
    <w:p w14:paraId="18A6173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随机森林通过集成多棵决策树提升预测性能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"https://onlinelibrary.wiley.com/doi/10.1155/acis/8496186?ContribAuthorRaw=Ayerko,+Emmanuel+Herson&amp;af=R&amp;content=articlesChapters&amp;mi=6e4y8xs&amp;target=default"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5793"/>
        <w:placeholder>
          <w:docPart w:val="{c52026f2-2650-4454-8551-439ccd123b4c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44A19548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from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sklearn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ensemble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RandomForestClassifier</w:t>
          </w:r>
        </w:p>
        <w:p w14:paraId="5A5611B3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4A9EE053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RandomForestClassifier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n_estimators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100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random_state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42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BC917BA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507088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y_pred_rf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rf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predict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72BDEF28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（3）XGBoost</w:t>
      </w:r>
    </w:p>
    <w:p w14:paraId="6F57A58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XGBoost作为一种高效的梯度提升算法，在流失预测任务中表现优异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"https://d.wanfangdata.com.cn/periodical/dnzsyjs-itrzyksb202434003"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5711"/>
        <w:placeholder>
          <w:docPart w:val="{f368b26d-d657-4093-8a73-f20ea4343717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1C45FDA7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xgboost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682AEF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as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xgb</w:t>
          </w:r>
        </w:p>
        <w:p w14:paraId="69F0CD5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E78A738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xgb_model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xgb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XGBClassifier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</w:p>
        <w:p w14:paraId="32A796A9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n_estimators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100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</w:p>
        <w:p w14:paraId="32ED9A37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learning_rate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0.1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</w:p>
        <w:p w14:paraId="64C40642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max_depth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6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</w:p>
        <w:p w14:paraId="4EA9A613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random_state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42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</w:p>
        <w:p w14:paraId="0E4263D5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scale_pos_weight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len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]) / </w:t>
          </w:r>
        </w:p>
        <w:p w14:paraId="10E793F7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   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len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])</w:t>
          </w:r>
        </w:p>
        <w:p w14:paraId="52D6EB0C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A41E040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xgb_model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fit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y_train_balanced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C45A84E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y_pred_xgb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xgb_model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predict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6BB67C8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5.5 模型可解释性——SHAP分析</w:t>
      </w:r>
    </w:p>
    <w:p w14:paraId="68698F2F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采用SHAP（Shapley Additive Explanations）分析模型预测结果，识别客户流失的关键驱动因素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"https://iaj.aktuaris.or.id/index.php/iaj/article/view/25"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sdt>
      <w:sdt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  <w:id w:val="147475646"/>
        <w:placeholder>
          <w:docPart w:val="{15200019-6c54-454a-b1e6-e570941d67d0}"/>
        </w:placeholder>
        <w15:appearance w15:val="hidden"/>
      </w:sdtPr>
      <w:sdtEndPr>
        <w:rPr>
          <w:rFonts w:hint="eastAsia" w:ascii="Consolas" w:hAnsi="宋体" w:eastAsia="宋体" w:cs="宋体"/>
          <w:i w:val="0"/>
          <w:iCs w:val="0"/>
          <w:caps w:val="0"/>
          <w:color w:val="0F1115"/>
          <w:spacing w:val="0"/>
          <w:kern w:val="2"/>
          <w:sz w:val="21"/>
          <w:szCs w:val="24"/>
          <w:shd w:val="clear"/>
          <w:lang w:val="en-US" w:eastAsia="zh-CN" w:bidi="ar-SA"/>
        </w:rPr>
      </w:sdtEndPr>
      <w:sdtContent>
        <w:p w14:paraId="50FA223D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1E5FC7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</w:t>
          </w:r>
        </w:p>
        <w:p w14:paraId="1BC084D3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133DE36B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创建SHAP解释器</w:t>
          </w:r>
        </w:p>
        <w:p w14:paraId="6C948F05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explainer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TreeExplainer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xgb_model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829FB58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shap_values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explainer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shap_values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4BBE76A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77009C24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特征重要性条形图</w:t>
          </w:r>
        </w:p>
        <w:p w14:paraId="003157E8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summary_plot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shap_values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plot_type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C4820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"bar"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AEFAE64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5A6E4B96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909090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# 特征影响分布图</w:t>
          </w:r>
        </w:p>
        <w:p w14:paraId="4C194C5C">
          <w:pPr>
            <w:pStyle w:val="6"/>
            <w:keepNext w:val="0"/>
            <w:keepLines w:val="0"/>
            <w:pageBreakBefore w:val="0"/>
            <w:widowControl/>
            <w:suppressLineNumbers w:val="0"/>
            <w:shd w:val="clear" w:fill="F5F5F5"/>
            <w:kinsoku/>
            <w:overflowPunct/>
            <w:topLinePunct w:val="0"/>
            <w:autoSpaceDE/>
            <w:autoSpaceDN/>
            <w:bidi w:val="0"/>
            <w:adjustRightInd/>
            <w:snapToGrid/>
            <w:spacing w:before="160" w:beforeAutospacing="0" w:after="160" w:afterAutospacing="0" w:line="240" w:lineRule="auto"/>
            <w:ind w:left="420" w:leftChars="200" w:right="0" w:firstLine="0"/>
            <w:jc w:val="left"/>
            <w:textAlignment w:val="auto"/>
            <w:rPr>
              <w:rFonts w:hint="eastAsia" w:ascii="Consolas" w:hAnsi="宋体" w:eastAsia="宋体" w:cs="宋体"/>
              <w:i w:val="0"/>
              <w:iCs w:val="0"/>
              <w:caps w:val="0"/>
              <w:color w:val="0F1115"/>
              <w:spacing w:val="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summary_plot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shap_values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BB2726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X_test</w:t>
          </w:r>
          <w:r>
            <w:rPr>
              <w:rFonts w:hint="eastAsia" w:ascii="Consolas" w:hAnsi="宋体" w:eastAsia="宋体" w:cs="宋体"/>
              <w:i w:val="0"/>
              <w:iCs w:val="0"/>
              <w:caps w:val="0"/>
              <w:color w:val="252525"/>
              <w:spacing w:val="0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7352FB0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6 结果分析</w:t>
      </w:r>
    </w:p>
    <w:p w14:paraId="4BB4E47A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6.1 探索性数据分析结果</w:t>
      </w:r>
    </w:p>
    <w:p w14:paraId="1798983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（1）流失率概况</w:t>
      </w:r>
    </w:p>
    <w:p w14:paraId="11BC4C22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数据分析显示，数据集中流失客户占比约为26.5%，留存客户占比约为73.5%。这</w:t>
      </w:r>
      <w:bookmarkStart w:id="0" w:name="_GoBack"/>
      <w:bookmarkEnd w:id="0"/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一比例与电信行业普遍面临的客户流失挑战相符——年度流失率通常在30-35%范围内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instrText xml:space="preserve"> HYPERLINK "https://ieeexplore.ieee.org/abstract/document/11327024/similar" \l "similar#1"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。</w:t>
      </w:r>
    </w:p>
    <w:p w14:paraId="58F53E3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654050</wp:posOffset>
            </wp:positionH>
            <wp:positionV relativeFrom="paragraph">
              <wp:posOffset>110490</wp:posOffset>
            </wp:positionV>
            <wp:extent cx="3932555" cy="3644900"/>
            <wp:effectExtent l="0" t="0" r="0" b="0"/>
            <wp:wrapSquare wrapText="bothSides"/>
            <wp:docPr id="3" name="图片 3" descr="churn_rate_p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hurn_rate_pie"/>
                    <pic:cNvPicPr>
                      <a:picLocks noChangeAspect="1"/>
                    </pic:cNvPicPr>
                  </pic:nvPicPr>
                  <pic:blipFill>
                    <a:blip r:embed="rId4"/>
                    <a:srcRect t="441" r="-1375" b="9223"/>
                    <a:stretch>
                      <a:fillRect/>
                    </a:stretch>
                  </pic:blipFill>
                  <pic:spPr>
                    <a:xfrm>
                      <a:off x="0" y="0"/>
                      <a:ext cx="393255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17985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7D0237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A8EF39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0F54C8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A7FB81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611A0F0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1A0075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6CB4D01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2952A9F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1EAACF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B91EB42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2730" w:firstLineChars="1300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图1：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流失率饼图</w:t>
      </w:r>
    </w:p>
    <w:p w14:paraId="26BE7EB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（2）关键流失驱动因素</w:t>
      </w:r>
    </w:p>
    <w:p w14:paraId="02F7CB4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通过单变量和双变量分析，发现以下因素与客户流失显著相关：</w:t>
      </w:r>
    </w:p>
    <w:p w14:paraId="7B797C8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·在网时长（Tenure）：在网时间越短的客户流失率越高。新客户（在网1-2个月）的流失率超过40%，而在网超过5年的客户流失率低于15%。</w:t>
      </w:r>
    </w:p>
    <w:p w14:paraId="710FB42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·合同类型（Contract）：月度合同客户的流失率远高于一年期和两年期合同客户，月度合同流失率超过40%，而两年期合同流失率低于20%。</w:t>
      </w:r>
    </w:p>
    <w:p w14:paraId="46A2A116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·付款方式（PaymentMethod）：使用电子支票付款的客户流失率最高。</w:t>
      </w:r>
    </w:p>
    <w:p w14:paraId="06F6C1E3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·月费用（MonthlyCharges）：月费用较高的客户流失倾向更明显。</w:t>
      </w:r>
    </w:p>
    <w:p w14:paraId="54D543B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·附加服务订阅：未订阅在线安全、技术支持等增值服务的客户流失率更高。</w:t>
      </w:r>
    </w:p>
    <w:p w14:paraId="25EA0AD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-1063625</wp:posOffset>
            </wp:positionH>
            <wp:positionV relativeFrom="paragraph">
              <wp:posOffset>113665</wp:posOffset>
            </wp:positionV>
            <wp:extent cx="7382510" cy="1929765"/>
            <wp:effectExtent l="0" t="0" r="8890" b="635"/>
            <wp:wrapNone/>
            <wp:docPr id="6" name="图片 6" descr="key_features_chu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key_features_churn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38251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</w:t>
      </w:r>
    </w:p>
    <w:p w14:paraId="73BFAE5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604EDBF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4DC1481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E4CA39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1D8B471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right="0" w:firstLine="2880" w:firstLineChars="1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72D8AE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right="0" w:firstLine="2880" w:firstLineChars="120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图2：关键特征与流失关系图</w:t>
      </w:r>
    </w:p>
    <w:p w14:paraId="2BEDB48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（3）相关性分析</w:t>
      </w:r>
    </w:p>
    <w:p w14:paraId="61D80C3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相关性热力图显示，在网时长与总费用呈正相关（在网越久总费用越高），而与月费用呈弱负相关。流失状态与在网时长呈较强的负相关，与合同类型和月费用呈正相关。</w:t>
      </w:r>
    </w:p>
    <w:p w14:paraId="5B5419B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74930</wp:posOffset>
            </wp:positionV>
            <wp:extent cx="5271135" cy="4400550"/>
            <wp:effectExtent l="0" t="0" r="12065" b="6350"/>
            <wp:wrapTight wrapText="bothSides">
              <wp:wrapPolygon>
                <wp:start x="0" y="0"/>
                <wp:lineTo x="0" y="21569"/>
                <wp:lineTo x="21545" y="21569"/>
                <wp:lineTo x="21545" y="0"/>
                <wp:lineTo x="0" y="0"/>
              </wp:wrapPolygon>
            </wp:wrapTight>
            <wp:docPr id="7" name="图片 7" descr="correlation_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correlation_heatmap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    图3：相关性热力图</w:t>
      </w:r>
    </w:p>
    <w:p w14:paraId="2B72DEE0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234950</wp:posOffset>
            </wp:positionV>
            <wp:extent cx="5342255" cy="4083685"/>
            <wp:effectExtent l="0" t="0" r="0" b="0"/>
            <wp:wrapTight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ight>
            <wp:docPr id="10" name="图片 10" descr="customer_clust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customer_clusters"/>
                    <pic:cNvPicPr>
                      <a:picLocks noChangeAspect="1"/>
                    </pic:cNvPicPr>
                  </pic:nvPicPr>
                  <pic:blipFill>
                    <a:blip r:embed="rId7"/>
                    <a:srcRect t="4712" r="-1361"/>
                    <a:stretch>
                      <a:fillRect/>
                    </a:stretch>
                  </pic:blipFill>
                  <pic:spPr>
                    <a:xfrm>
                      <a:off x="0" y="0"/>
                      <a:ext cx="5342255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cs="宋体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图4：KMeans客户分群可视化（PCA降维）</w:t>
      </w:r>
    </w:p>
    <w:p w14:paraId="7E503335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eastAsia="宋体"/>
          <w:lang w:eastAsia="zh-CN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-177800</wp:posOffset>
            </wp:positionH>
            <wp:positionV relativeFrom="paragraph">
              <wp:posOffset>561340</wp:posOffset>
            </wp:positionV>
            <wp:extent cx="5774055" cy="2693035"/>
            <wp:effectExtent l="0" t="0" r="0" b="0"/>
            <wp:wrapTight wrapText="bothSides">
              <wp:wrapPolygon>
                <wp:start x="0" y="0"/>
                <wp:lineTo x="0" y="21493"/>
                <wp:lineTo x="21427" y="21493"/>
                <wp:lineTo x="21427" y="0"/>
                <wp:lineTo x="0" y="0"/>
              </wp:wrapPolygon>
            </wp:wrapTight>
            <wp:docPr id="11" name="图片 11" descr="model_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model_comparison"/>
                    <pic:cNvPicPr>
                      <a:picLocks noChangeAspect="1"/>
                    </pic:cNvPicPr>
                  </pic:nvPicPr>
                  <pic:blipFill>
                    <a:blip r:embed="rId8"/>
                    <a:srcRect t="4718" r="-1225"/>
                    <a:stretch>
                      <a:fillRect/>
                    </a:stretch>
                  </pic:blipFill>
                  <pic:spPr>
                    <a:xfrm>
                      <a:off x="0" y="0"/>
                      <a:ext cx="5774055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6.2 模型评估结果</w:t>
      </w:r>
    </w:p>
    <w:p w14:paraId="2C66D5A8"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                      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图5：各模型性能对比</w:t>
      </w:r>
    </w:p>
    <w:p w14:paraId="0568544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采用准确率（Accuracy）、精确率（Precision）、召回率（Recall）、F1分数和ROC-AUC等指标对模型进行评估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instrText xml:space="preserve"> HYPERLINK "https://onlinelibrary.wiley.com/doi/10.1155/acis/8496186?ContribAuthorRaw=Ayerko,+Emmanuel+Herson&amp;af=R&amp;content=articlesChapters&amp;mi=6e4y8xs&amp;target=default"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</w:p>
    <w:p w14:paraId="5067ECF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表2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4"/>
        <w:gridCol w:w="1320"/>
        <w:gridCol w:w="1474"/>
        <w:gridCol w:w="1718"/>
        <w:gridCol w:w="1167"/>
        <w:gridCol w:w="1320"/>
      </w:tblGrid>
      <w:tr w14:paraId="37DA09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74" w:type="dxa"/>
            <w:tcBorders>
              <w:top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6B9DB8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模型</w:t>
            </w:r>
          </w:p>
        </w:tc>
        <w:tc>
          <w:tcPr>
            <w:tcW w:w="1320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32FAC7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准确率</w:t>
            </w:r>
          </w:p>
        </w:tc>
        <w:tc>
          <w:tcPr>
            <w:tcW w:w="1474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0D9796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精确率（流失类）</w:t>
            </w:r>
          </w:p>
        </w:tc>
        <w:tc>
          <w:tcPr>
            <w:tcW w:w="1718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DE7927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召回率（流失类）</w:t>
            </w:r>
          </w:p>
        </w:tc>
        <w:tc>
          <w:tcPr>
            <w:tcW w:w="1167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5E21D2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F1分数</w:t>
            </w:r>
          </w:p>
        </w:tc>
        <w:tc>
          <w:tcPr>
            <w:tcW w:w="1320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A1D65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ROC-AUC</w:t>
            </w:r>
          </w:p>
        </w:tc>
      </w:tr>
      <w:tr w14:paraId="1A83A3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74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E37BA7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逻辑回归</w:t>
            </w:r>
          </w:p>
        </w:tc>
        <w:tc>
          <w:tcPr>
            <w:tcW w:w="132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22154C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80.5%</w:t>
            </w:r>
          </w:p>
        </w:tc>
        <w:tc>
          <w:tcPr>
            <w:tcW w:w="147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29F315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65.2%</w:t>
            </w:r>
          </w:p>
        </w:tc>
        <w:tc>
          <w:tcPr>
            <w:tcW w:w="171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1133D0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55.8%</w:t>
            </w:r>
          </w:p>
        </w:tc>
        <w:tc>
          <w:tcPr>
            <w:tcW w:w="11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065B2A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60.1%</w:t>
            </w:r>
          </w:p>
        </w:tc>
        <w:tc>
          <w:tcPr>
            <w:tcW w:w="132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1079DB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0.84</w:t>
            </w:r>
          </w:p>
        </w:tc>
      </w:tr>
      <w:tr w14:paraId="541E1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74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40030B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随机森林</w:t>
            </w:r>
          </w:p>
        </w:tc>
        <w:tc>
          <w:tcPr>
            <w:tcW w:w="132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F503A3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84.7%</w:t>
            </w:r>
          </w:p>
        </w:tc>
        <w:tc>
          <w:tcPr>
            <w:tcW w:w="147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C4970E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85.2%</w:t>
            </w:r>
          </w:p>
        </w:tc>
        <w:tc>
          <w:tcPr>
            <w:tcW w:w="171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FF5F15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84.1%</w:t>
            </w:r>
          </w:p>
        </w:tc>
        <w:tc>
          <w:tcPr>
            <w:tcW w:w="11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7065CB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84.6%</w:t>
            </w:r>
          </w:p>
        </w:tc>
        <w:tc>
          <w:tcPr>
            <w:tcW w:w="132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947387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0.94</w:t>
            </w:r>
            <w:r>
              <w:rPr>
                <w:rFonts w:hint="eastAsia" w:ascii="宋体" w:hAnsi="宋体" w:eastAsia="宋体" w:cs="宋体"/>
                <w:color w:val="3964FE"/>
                <w:kern w:val="0"/>
                <w:sz w:val="24"/>
                <w:szCs w:val="24"/>
                <w:u w:val="none"/>
                <w:bdr w:val="single" w:color="auto" w:sz="12" w:space="0"/>
                <w:lang w:val="en-US" w:eastAsia="zh-CN" w:bidi="ar"/>
              </w:rPr>
              <w:fldChar w:fldCharType="begin"/>
            </w:r>
            <w:r>
              <w:rPr>
                <w:rFonts w:hint="eastAsia" w:ascii="宋体" w:hAnsi="宋体" w:eastAsia="宋体" w:cs="宋体"/>
                <w:color w:val="3964FE"/>
                <w:kern w:val="0"/>
                <w:sz w:val="24"/>
                <w:szCs w:val="24"/>
                <w:u w:val="none"/>
                <w:bdr w:val="single" w:color="auto" w:sz="12" w:space="0"/>
                <w:lang w:val="en-US" w:eastAsia="zh-CN" w:bidi="ar"/>
              </w:rPr>
              <w:instrText xml:space="preserve"> HYPERLINK "https://onlinelibrary.wiley.com/doi/10.1155/acis/8496186?ContribAuthorRaw=Ayerko,+Emmanuel+Herson&amp;af=R&amp;content=articlesChapters&amp;mi=6e4y8xs&amp;target=default" \l "1" \t "https://chat.deepseek.com/a/chat/s/_blank" </w:instrText>
            </w:r>
            <w:r>
              <w:rPr>
                <w:rFonts w:hint="eastAsia" w:ascii="宋体" w:hAnsi="宋体" w:eastAsia="宋体" w:cs="宋体"/>
                <w:color w:val="3964FE"/>
                <w:kern w:val="0"/>
                <w:sz w:val="24"/>
                <w:szCs w:val="24"/>
                <w:u w:val="none"/>
                <w:bdr w:val="single" w:color="auto" w:sz="12" w:space="0"/>
                <w:lang w:val="en-US" w:eastAsia="zh-CN" w:bidi="ar"/>
              </w:rPr>
              <w:fldChar w:fldCharType="separate"/>
            </w:r>
            <w:r>
              <w:rPr>
                <w:rFonts w:hint="eastAsia" w:ascii="宋体" w:hAnsi="宋体" w:eastAsia="宋体" w:cs="宋体"/>
                <w:color w:val="3964FE"/>
                <w:kern w:val="0"/>
                <w:sz w:val="24"/>
                <w:szCs w:val="24"/>
                <w:u w:val="none"/>
                <w:bdr w:val="single" w:color="auto" w:sz="12" w:space="0"/>
                <w:lang w:val="en-US" w:eastAsia="zh-CN" w:bidi="ar"/>
              </w:rPr>
              <w:fldChar w:fldCharType="end"/>
            </w:r>
          </w:p>
        </w:tc>
      </w:tr>
      <w:tr w14:paraId="3A965D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74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B700AA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XGBoost</w:t>
            </w:r>
          </w:p>
        </w:tc>
        <w:tc>
          <w:tcPr>
            <w:tcW w:w="132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844C8B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85.2%</w:t>
            </w:r>
          </w:p>
        </w:tc>
        <w:tc>
          <w:tcPr>
            <w:tcW w:w="147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BFCDE9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83.5%</w:t>
            </w:r>
          </w:p>
        </w:tc>
        <w:tc>
          <w:tcPr>
            <w:tcW w:w="171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42CF07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82.8%</w:t>
            </w:r>
          </w:p>
        </w:tc>
        <w:tc>
          <w:tcPr>
            <w:tcW w:w="11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17D3C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83.1%</w:t>
            </w:r>
          </w:p>
        </w:tc>
        <w:tc>
          <w:tcPr>
            <w:tcW w:w="132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391289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0.93</w:t>
            </w:r>
          </w:p>
        </w:tc>
      </w:tr>
      <w:tr w14:paraId="4323D6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74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F535B5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LightGBM</w:t>
            </w:r>
          </w:p>
        </w:tc>
        <w:tc>
          <w:tcPr>
            <w:tcW w:w="132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A228BD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86.0%</w:t>
            </w:r>
          </w:p>
        </w:tc>
        <w:tc>
          <w:tcPr>
            <w:tcW w:w="147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BF8307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85.0%</w:t>
            </w:r>
          </w:p>
        </w:tc>
        <w:tc>
          <w:tcPr>
            <w:tcW w:w="171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AF855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83.5%</w:t>
            </w:r>
          </w:p>
        </w:tc>
        <w:tc>
          <w:tcPr>
            <w:tcW w:w="1167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1613FE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84.2%</w:t>
            </w:r>
          </w:p>
        </w:tc>
        <w:tc>
          <w:tcPr>
            <w:tcW w:w="132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9E5A12">
            <w:pPr>
              <w:keepNext w:val="0"/>
              <w:keepLines w:val="0"/>
              <w:pageBreakBefore w:val="0"/>
              <w:widowControl/>
              <w:suppressLineNumbers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atLeast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0.94</w:t>
            </w:r>
          </w:p>
        </w:tc>
      </w:tr>
    </w:tbl>
    <w:p w14:paraId="4B063FE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254635</wp:posOffset>
            </wp:positionV>
            <wp:extent cx="4669155" cy="4044950"/>
            <wp:effectExtent l="0" t="0" r="0" b="0"/>
            <wp:wrapThrough wrapText="bothSides">
              <wp:wrapPolygon>
                <wp:start x="0" y="0"/>
                <wp:lineTo x="0" y="21566"/>
                <wp:lineTo x="21562" y="21566"/>
                <wp:lineTo x="21562" y="0"/>
                <wp:lineTo x="0" y="0"/>
              </wp:wrapPolygon>
            </wp:wrapThrough>
            <wp:docPr id="12" name="图片 12" descr="confusion_matr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confusion_matrix"/>
                    <pic:cNvPicPr>
                      <a:picLocks noChangeAspect="1"/>
                    </pic:cNvPicPr>
                  </pic:nvPicPr>
                  <pic:blipFill>
                    <a:blip r:embed="rId9"/>
                    <a:srcRect t="5616" r="-781"/>
                    <a:stretch>
                      <a:fillRect/>
                    </a:stretch>
                  </pic:blipFill>
                  <pic:spPr>
                    <a:xfrm>
                      <a:off x="0" y="0"/>
                      <a:ext cx="4669155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      </w:t>
      </w:r>
    </w:p>
    <w:p w14:paraId="37BC9DE3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34ED308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486EE4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69B4A9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9C65B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B705B3A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0FF16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464AD9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DDFEF3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9421D8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A3C3B8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16FB3A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      图6：最佳模型混淆矩阵</w:t>
      </w:r>
    </w:p>
    <w:p w14:paraId="207D77F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从评估结果可以看出：</w:t>
      </w:r>
    </w:p>
    <w:p w14:paraId="390A359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集成学习方法（随机森林、XGBoost、LightGBM）整体优于逻辑回归等传统方法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instrText xml:space="preserve"> HYPERLINK "https://ieeexplore.ieee.org/abstract/document/11330530"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end"/>
      </w:r>
    </w:p>
    <w:p w14:paraId="18E88F0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随机森林在召回率和F1分数上表现突出，能够有效识别潜在流失客户</w:t>
      </w:r>
    </w:p>
    <w:p w14:paraId="5AF5452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经过SMOTE处理类别不平衡后，模型对流失客户的识别能力显著提升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end"/>
      </w:r>
    </w:p>
    <w:p w14:paraId="70B9799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4.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ROC-AUC均达到0.84以上，表明模型具有良好的区分能力</w:t>
      </w:r>
    </w:p>
    <w:p w14:paraId="243A51E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特征重要性分析表明，在网时长（tenure）、合同类型（Contract）、月费用（MonthlyCharges）和客户服务呼叫次数是预测客户流失的最重要特征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。其中，在网时长和合同类型的影响尤为显著，这与此前EDA分析的结论一致。</w:t>
      </w:r>
    </w:p>
    <w:p w14:paraId="492973E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drawing>
          <wp:inline distT="0" distB="0" distL="114300" distR="114300">
            <wp:extent cx="5316855" cy="3955415"/>
            <wp:effectExtent l="0" t="0" r="0" b="0"/>
            <wp:docPr id="13" name="图片 13" descr="roc_curv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roc_curves"/>
                    <pic:cNvPicPr>
                      <a:picLocks noChangeAspect="1"/>
                    </pic:cNvPicPr>
                  </pic:nvPicPr>
                  <pic:blipFill>
                    <a:blip r:embed="rId10"/>
                    <a:srcRect t="4944" r="-867"/>
                    <a:stretch>
                      <a:fillRect/>
                    </a:stretch>
                  </pic:blipFill>
                  <pic:spPr>
                    <a:xfrm>
                      <a:off x="0" y="0"/>
                      <a:ext cx="5316855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F33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           图7：ROC曲线对比</w:t>
      </w:r>
    </w:p>
    <w:p w14:paraId="2812715A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6.3 可视化展示</w:t>
      </w:r>
    </w:p>
    <w:p w14:paraId="7142841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（1）流失率分布饼图：直观展示流失客户与留存客户的比例。</w:t>
      </w:r>
    </w:p>
    <w:p w14:paraId="5C39E31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（2）流失驱动因素柱状图：对比不同合同类型、付款方式、在网时长区间下的流失率差异。</w:t>
      </w:r>
    </w:p>
    <w:p w14:paraId="18E3356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（3）特征相关性热力图：展示各数值型特征之间的相关关系。</w:t>
      </w:r>
    </w:p>
    <w:p w14:paraId="2803475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（4）模型性能对比图：以条形图或雷达图对比各模型的评估指标。</w:t>
      </w:r>
    </w:p>
    <w:p w14:paraId="4C7B4B4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（5）SHAP特征重要性图：展示各特征对模型预测结果的贡献度。</w:t>
      </w:r>
    </w:p>
    <w:p w14:paraId="71D91C09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（6）Pyecharts组合大屏：整合多个图表，构建交互式可视化仪表板。</w:t>
      </w:r>
    </w:p>
    <w:p w14:paraId="6506D0B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drawing>
          <wp:inline distT="0" distB="0" distL="114300" distR="114300">
            <wp:extent cx="4923155" cy="5640705"/>
            <wp:effectExtent l="0" t="0" r="0" b="0"/>
            <wp:docPr id="14" name="图片 14" descr="shap_feature_import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hap_feature_importance"/>
                    <pic:cNvPicPr>
                      <a:picLocks noChangeAspect="1"/>
                    </pic:cNvPicPr>
                  </pic:nvPicPr>
                  <pic:blipFill>
                    <a:blip r:embed="rId11"/>
                    <a:srcRect t="3003" r="-545"/>
                    <a:stretch>
                      <a:fillRect/>
                    </a:stretch>
                  </pic:blipFill>
                  <pic:spPr>
                    <a:xfrm>
                      <a:off x="0" y="0"/>
                      <a:ext cx="4923155" cy="564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1DA2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    图8：SHAP特征重要性</w:t>
      </w:r>
    </w:p>
    <w:p w14:paraId="03872E01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drawing>
          <wp:inline distT="0" distB="0" distL="114300" distR="114300">
            <wp:extent cx="5342255" cy="6094730"/>
            <wp:effectExtent l="0" t="0" r="0" b="0"/>
            <wp:docPr id="15" name="图片 15" descr="shap_summary_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shap_summary_plot"/>
                    <pic:cNvPicPr>
                      <a:picLocks noChangeAspect="1"/>
                    </pic:cNvPicPr>
                  </pic:nvPicPr>
                  <pic:blipFill>
                    <a:blip r:embed="rId12"/>
                    <a:srcRect t="2835" r="-1349"/>
                    <a:stretch>
                      <a:fillRect/>
                    </a:stretch>
                  </pic:blipFill>
                  <pic:spPr>
                    <a:xfrm>
                      <a:off x="0" y="0"/>
                      <a:ext cx="5342255" cy="609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7C093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default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                     图9：SHAP 特征影响分布图</w:t>
      </w:r>
    </w:p>
    <w:p w14:paraId="0E7D83F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7 AI辅助过程</w:t>
      </w:r>
    </w:p>
    <w:p w14:paraId="56DFE211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提示词：</w:t>
      </w:r>
    </w:p>
    <w:p w14:paraId="6DE848E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·“请帮我设计电信客户流失数据集的EDA分析代码，包括数据加载、缺失值处理和可视化”</w:t>
      </w:r>
    </w:p>
    <w:p w14:paraId="2738D7E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·“如何用SMOTE处理电信客户流失数据集中的类别不平衡问题？”</w:t>
      </w:r>
    </w:p>
    <w:p w14:paraId="34350EF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·“请解释SHAP值在客户流失预测模型中的应用方法”</w:t>
      </w:r>
    </w:p>
    <w:p w14:paraId="5AD2753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AI生成内容与人工优化：</w:t>
      </w:r>
    </w:p>
    <w:p w14:paraId="5CCCE24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·AI辅助生成了数据预处理和基础可视化代码框架</w:t>
      </w:r>
    </w:p>
    <w:p w14:paraId="0C58B78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·人工进行了特征工程优化、模型超参数调优和结果解读</w:t>
      </w:r>
    </w:p>
    <w:p w14:paraId="0D69D2D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·人工完成了业务洞察的提炼和报告撰写</w:t>
      </w:r>
    </w:p>
    <w:p w14:paraId="439891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32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aps w:val="0"/>
          <w:color w:val="0F1115"/>
          <w:spacing w:val="0"/>
          <w:sz w:val="24"/>
          <w:szCs w:val="24"/>
          <w:shd w:val="clear" w:fill="FFFFFF"/>
        </w:rPr>
        <w:t>8 总结</w:t>
      </w:r>
    </w:p>
    <w:p w14:paraId="0A6F8A47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本项目围绕电信客户流失数据分析与可视化任务，完成了从数据预处理、探索性分析、特征工程、模型构建到结果可视化的完整流程。主要成果包括：</w:t>
      </w:r>
    </w:p>
    <w:p w14:paraId="7992E391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（1）数据洞察：通过EDA分析，识别出在网时长、合同类型、月费用和付款方式是客户流失的关键驱动因素，为运营商制定针对性的挽留策略提供了数据支撑。</w:t>
      </w:r>
    </w:p>
    <w:p w14:paraId="6016CC76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（2）预测模型：构建并比较了逻辑回归、随机森林、XGBoost和LightGBM四种模型，其中集成学习方法整体优于传统方法，随机森林模型在召回率和F1分数上表现突出。</w:t>
      </w:r>
    </w:p>
    <w:p w14:paraId="67A0C88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（3）可解释性分析：通过SHAP值分析揭示了各特征对流失预测的具体影响方向和程度，增强了模型的可信度和业务可操作性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</w:t>
      </w:r>
    </w:p>
    <w:p w14:paraId="670F425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（4）可视化展示：通过多种图表形式直观呈现了分析结果，包括流失率分布、特征对比、模型性能评估等。</w:t>
      </w:r>
    </w:p>
    <w:p w14:paraId="7F61F87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项目创新点：</w:t>
      </w:r>
    </w:p>
    <w:p w14:paraId="74A8897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·综合运用多种机器学习模型进行对比分析，系统评估了不同方法在流失预测任务中的优劣</w:t>
      </w:r>
    </w:p>
    <w:p w14:paraId="4939373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·引入SHAP可解释性分析，将"黑箱"预测转化为可理解、可操作的业务洞察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instrText xml:space="preserve"> HYPERLINK "https://iaj.aktuaris.or.id/index.php/iaj/article/view/25"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end"/>
      </w:r>
    </w:p>
    <w:p w14:paraId="76FE956C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·采用SMOTE技术有效处理了类别不平衡问题，提升了模型对流失客户的识别能力</w: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3964FE"/>
          <w:spacing w:val="0"/>
          <w:sz w:val="24"/>
          <w:szCs w:val="24"/>
          <w:u w:val="none"/>
          <w:bdr w:val="single" w:color="auto" w:sz="12" w:space="0"/>
          <w:shd w:val="clear" w:fill="FFFFFF"/>
        </w:rPr>
        <w:fldChar w:fldCharType="end"/>
      </w:r>
    </w:p>
    <w:p w14:paraId="6D5CC3B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改进方向：</w:t>
      </w:r>
    </w:p>
    <w:p w14:paraId="076C6A22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·可引入深度学习模型（如LSTM、DeepFM）进一步捕捉客户行为的时间动态特征</w:t>
      </w:r>
    </w:p>
    <w:p w14:paraId="3C647010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·可整合多源数据（如客服通话记录、社交媒体交互等）构建更全面的客户画像</w:t>
      </w:r>
    </w:p>
    <w:p w14:paraId="18E2269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·可将预测模型与CRM系统集成，实现从"预测"到"行动"的端到端自动化挽留流程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instrText xml:space="preserve"> HYPERLINK "https://www.nature.com/articles/s41598-025-30108-z?utm" \l "1" \t "https://chat.deepseek.com/a/chat/s/_blank" </w:instrTex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separate"/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fldChar w:fldCharType="end"/>
      </w:r>
    </w:p>
    <w:p w14:paraId="38BFB76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60" w:beforeAutospacing="0" w:after="160" w:afterAutospacing="0" w:line="400" w:lineRule="atLeast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·可探索实时流失预测方案，在客户行为变化的早期阶段即发出预警</w:t>
      </w:r>
    </w:p>
    <w:p w14:paraId="5082CB08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line="40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4642C3"/>
    <w:multiLevelType w:val="singleLevel"/>
    <w:tmpl w:val="824642C3"/>
    <w:lvl w:ilvl="0" w:tentative="0">
      <w:start w:val="3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8970892"/>
    <w:rsid w:val="18970892"/>
    <w:rsid w:val="26573321"/>
    <w:rsid w:val="422C3859"/>
    <w:rsid w:val="4703102D"/>
    <w:rsid w:val="47090A88"/>
    <w:rsid w:val="50760AC1"/>
    <w:rsid w:val="753D12FE"/>
    <w:rsid w:val="75E81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glossaryDocument" Target="glossary/document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fa1ec7cd-d920-45ce-804a-6501fe665cad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a1ec7cd-d920-45ce-804a-6501fe665cad}"/>
      </w:docPartPr>
      <w:docPartBody>
        <w:p w14:paraId="54461D9A"/>
      </w:docPartBody>
    </w:docPart>
    <w:docPart>
      <w:docPartPr>
        <w:name w:val="{d8623941-99ae-4815-9d1a-cec25f06888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8623941-99ae-4815-9d1a-cec25f06888f}"/>
      </w:docPartPr>
      <w:docPartBody>
        <w:p w14:paraId="0D6C9FBD"/>
      </w:docPartBody>
    </w:docPart>
    <w:docPart>
      <w:docPartPr>
        <w:name w:val="{d0490d2d-5883-480c-8fd6-3ca4f5d5e9c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0490d2d-5883-480c-8fd6-3ca4f5d5e9c2}"/>
      </w:docPartPr>
      <w:docPartBody>
        <w:p w14:paraId="222AFFED"/>
      </w:docPartBody>
    </w:docPart>
    <w:docPart>
      <w:docPartPr>
        <w:name w:val="{4047310b-e118-49a2-a0e8-8b883467a20d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047310b-e118-49a2-a0e8-8b883467a20d}"/>
      </w:docPartPr>
      <w:docPartBody>
        <w:p w14:paraId="78B23F7E"/>
      </w:docPartBody>
    </w:docPart>
    <w:docPart>
      <w:docPartPr>
        <w:name w:val="{3d257d7d-8e16-44b1-950d-8d70531e6bda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3d257d7d-8e16-44b1-950d-8d70531e6bda}"/>
      </w:docPartPr>
      <w:docPartBody>
        <w:p w14:paraId="5E0102D9"/>
      </w:docPartBody>
    </w:docPart>
    <w:docPart>
      <w:docPartPr>
        <w:name w:val="{a212cf10-deb2-4278-9794-919ad8a25ce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a212cf10-deb2-4278-9794-919ad8a25cef}"/>
      </w:docPartPr>
      <w:docPartBody>
        <w:p w14:paraId="25DDC72F"/>
      </w:docPartBody>
    </w:docPart>
    <w:docPart>
      <w:docPartPr>
        <w:name w:val="{d3414bb9-ee89-4a88-9d4b-6de790af0abb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3414bb9-ee89-4a88-9d4b-6de790af0abb}"/>
      </w:docPartPr>
      <w:docPartBody>
        <w:p w14:paraId="315A3B93"/>
      </w:docPartBody>
    </w:docPart>
    <w:docPart>
      <w:docPartPr>
        <w:name w:val="{bc86a7a3-bd79-4db0-a822-28be64c8db33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c86a7a3-bd79-4db0-a822-28be64c8db33}"/>
      </w:docPartPr>
      <w:docPartBody>
        <w:p w14:paraId="5D618DCA"/>
      </w:docPartBody>
    </w:docPart>
    <w:docPart>
      <w:docPartPr>
        <w:name w:val="{f85d2510-dbc8-4af2-835b-c6d7aa0b4b2b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85d2510-dbc8-4af2-835b-c6d7aa0b4b2b}"/>
      </w:docPartPr>
      <w:docPartBody>
        <w:p w14:paraId="6E6EBA25"/>
      </w:docPartBody>
    </w:docPart>
    <w:docPart>
      <w:docPartPr>
        <w:name w:val="{c52026f2-2650-4454-8551-439ccd123b4c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c52026f2-2650-4454-8551-439ccd123b4c}"/>
      </w:docPartPr>
      <w:docPartBody>
        <w:p w14:paraId="64932DD7"/>
      </w:docPartBody>
    </w:docPart>
    <w:docPart>
      <w:docPartPr>
        <w:name w:val="{f368b26d-d657-4093-8a73-f20ea4343717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368b26d-d657-4093-8a73-f20ea4343717}"/>
      </w:docPartPr>
      <w:docPartBody>
        <w:p w14:paraId="123B869C"/>
      </w:docPartBody>
    </w:docPart>
    <w:docPart>
      <w:docPartPr>
        <w:name w:val="{15200019-6c54-454a-b1e6-e570941d67d0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5200019-6c54-454a-b1e6-e570941d67d0}"/>
      </w:docPartPr>
      <w:docPartBody>
        <w:p w14:paraId="7F10A3F5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pscustomsdt:customSdtData xmlns="http://www.wps.cn/officeDocument/2025/customizeSdt" xmlns:wpscustomsdt="http://www.wps.cn/officeDocument/2025/customizeSdt">
  <wpscustomsdt:sdtItem id="147477021" type="1" data="{&quot;codeLang&quot;:&quot;Python&quot;,&quot;isDarkTheme&quot;:0}"/>
  <wpscustomsdt:sdtItem id="147476560" type="1" data="{&quot;codeLang&quot;:&quot;Python&quot;,&quot;isDarkTheme&quot;:0}"/>
  <wpscustomsdt:sdtItem id="147476332" type="1" data="{&quot;codeLang&quot;:&quot;Python&quot;,&quot;isDarkTheme&quot;:0}"/>
  <wpscustomsdt:sdtItem id="147476263" type="1" data="{&quot;codeLang&quot;:&quot;Python&quot;,&quot;isDarkTheme&quot;:0}"/>
  <wpscustomsdt:sdtItem id="147476165" type="1" data="{&quot;codeLang&quot;:&quot;Python&quot;,&quot;isDarkTheme&quot;:0}"/>
  <wpscustomsdt:sdtItem id="147476093" type="1" data="{&quot;codeLang&quot;:&quot;Python&quot;,&quot;isDarkTheme&quot;:0}"/>
  <wpscustomsdt:sdtItem id="147476025" type="1" data="{&quot;codeLang&quot;:&quot;Python&quot;,&quot;isDarkTheme&quot;:0}"/>
  <wpscustomsdt:sdtItem id="147475917" type="1" data="{&quot;codeLang&quot;:&quot;Python&quot;,&quot;isDarkTheme&quot;:0}"/>
  <wpscustomsdt:sdtItem id="147475848" type="1" data="{&quot;codeLang&quot;:&quot;Python&quot;,&quot;isDarkTheme&quot;:0}"/>
  <wpscustomsdt:sdtItem id="147475793" type="1" data="{&quot;codeLang&quot;:&quot;Python&quot;,&quot;isDarkTheme&quot;:0}"/>
  <wpscustomsdt:sdtItem id="147475711" type="1" data="{&quot;codeLang&quot;:&quot;Python&quot;,&quot;isDarkTheme&quot;:0}"/>
  <wpscustomsdt:sdtItem id="147475646" type="1" data="{&quot;codeLang&quot;:&quot;Python&quot;,&quot;isDarkTheme&quot;:0}"/>
</wpscustomsdt:customSdtData>
</file>

<file path=customXml/itemProps1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3527</Words>
  <Characters>6745</Characters>
  <Lines>0</Lines>
  <Paragraphs>0</Paragraphs>
  <TotalTime>8</TotalTime>
  <ScaleCrop>false</ScaleCrop>
  <LinksUpToDate>false</LinksUpToDate>
  <CharactersWithSpaces>7330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2026-09-03T09:30:00Z</dcterms:created>
  <dc:creator>TAN90°</dc:creator>
  <cp:lastModifiedBy>TAN90°</cp:lastModifiedBy>
  <dcterms:modified xsi:type="dcterms:W3CDTF">2026-09-03T14:14:17Z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89A6D39FB0174F5182392509A0946C3B_11</vt:lpwstr>
  </property>
  <property fmtid="{D5CDD505-2E9C-101B-9397-08002B2CF9AE}" pid="4" name="KSOTemplateDocerSaveRecord">
    <vt:lpwstr>eyJoZGlkIjoiMDdjNmU2MWZlMmUzMTNmYTE3ZGQ4NjNiMDNmOTA0YzYiLCJ1c2VySWQiOiIxNzEyMjYzNDM2In0=</vt:lpwstr>
  </property>
</Properties>
</file>