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520"/>
        <w:jc w:val="left"/>
        <w:pBdr>
          <w:bottom w:val="single" w:sz="22" w:space="6" w:color="2E74B5"/>
        </w:pBdr>
      </w:pPr>
      <w:r>
        <w:rPr>
          <w:rFonts w:ascii="Calibri" w:hAnsi="Calibri" w:eastAsia="Calibri"/>
          <w:b/>
          <w:color w:val="2E74B5"/>
          <w:sz w:val="19"/>
        </w:rPr>
        <w:t>RESEARCH REFERENCE  /  ML DATA LANDSCAPE</w:t>
      </w:r>
    </w:p>
    <w:p>
      <w:pPr>
        <w:pStyle w:val="Title"/>
        <w:jc w:val="left"/>
      </w:pPr>
      <w:r>
        <w:rPr>
          <w:rFonts w:ascii="Calibri" w:hAnsi="Calibri" w:eastAsia="Calibri"/>
          <w:b/>
          <w:color w:val="17365D"/>
          <w:sz w:val="56"/>
        </w:rPr>
        <w:t>Boxing ML Data &amp;</w:t>
        <w:br/>
        <w:t>Documentation</w:t>
      </w:r>
    </w:p>
    <w:p>
      <w:pPr>
        <w:pStyle w:val="Subtitle"/>
      </w:pPr>
      <w:r>
        <w:rPr>
          <w:rFonts w:ascii="Calibri" w:hAnsi="Calibri" w:eastAsia="Calibri"/>
          <w:color w:val="52606D"/>
          <w:sz w:val="26"/>
        </w:rPr>
        <w:t>A source-linked catalog for computer vision, sensors, biomechanics, commentary, bout analytics, scoring, safety and transfer learning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024"/>
            <w:shd w:fill="E8EEF5"/>
            <w:tcMar>
              <w:top w:w="130" w:type="dxa"/>
              <w:start w:w="150" w:type="dxa"/>
              <w:bottom w:w="130" w:type="dxa"/>
              <w:end w:w="150" w:type="dxa"/>
            </w:tcMar>
          </w:tcPr>
          <w:p>
            <w:pPr>
              <w:spacing w:after="60"/>
            </w:pPr>
            <w:r>
              <w:rPr>
                <w:rFonts w:ascii="Calibri" w:hAnsi="Calibri" w:eastAsia="Calibri"/>
                <w:b/>
                <w:color w:val="52606D"/>
                <w:sz w:val="16"/>
              </w:rPr>
              <w:t>AUDIT DATE</w:t>
            </w:r>
          </w:p>
          <w:p>
            <w:pPr>
              <w:spacing w:after="0"/>
            </w:pPr>
            <w:r>
              <w:rPr>
                <w:rFonts w:ascii="Calibri" w:hAnsi="Calibri" w:eastAsia="Calibri"/>
                <w:b/>
                <w:color w:val="17365D"/>
                <w:sz w:val="20"/>
              </w:rPr>
              <w:t>7 August 2026</w:t>
            </w:r>
          </w:p>
        </w:tc>
        <w:tc>
          <w:tcPr>
            <w:tcW w:type="dxa" w:w="3024"/>
            <w:shd w:fill="E8F5F2"/>
            <w:tcMar>
              <w:top w:w="130" w:type="dxa"/>
              <w:start w:w="150" w:type="dxa"/>
              <w:bottom w:w="130" w:type="dxa"/>
              <w:end w:w="150" w:type="dxa"/>
            </w:tcMar>
          </w:tcPr>
          <w:p>
            <w:pPr>
              <w:spacing w:after="60"/>
            </w:pPr>
            <w:r>
              <w:rPr>
                <w:rFonts w:ascii="Calibri" w:hAnsi="Calibri" w:eastAsia="Calibri"/>
                <w:b/>
                <w:color w:val="52606D"/>
                <w:sz w:val="16"/>
              </w:rPr>
              <w:t>SCOPE</w:t>
            </w:r>
          </w:p>
          <w:p>
            <w:pPr>
              <w:spacing w:after="0"/>
            </w:pPr>
            <w:r>
              <w:rPr>
                <w:rFonts w:ascii="Calibri" w:hAnsi="Calibri" w:eastAsia="Calibri"/>
                <w:b/>
                <w:color w:val="17365D"/>
                <w:sz w:val="20"/>
              </w:rPr>
              <w:t>Sport of boxing</w:t>
            </w:r>
          </w:p>
        </w:tc>
        <w:tc>
          <w:tcPr>
            <w:tcW w:type="dxa" w:w="3312"/>
            <w:shd w:fill="FFF4D6"/>
            <w:tcMar>
              <w:top w:w="130" w:type="dxa"/>
              <w:start w:w="150" w:type="dxa"/>
              <w:bottom w:w="130" w:type="dxa"/>
              <w:end w:w="150" w:type="dxa"/>
            </w:tcMar>
          </w:tcPr>
          <w:p>
            <w:pPr>
              <w:spacing w:after="60"/>
            </w:pPr>
            <w:r>
              <w:rPr>
                <w:rFonts w:ascii="Calibri" w:hAnsi="Calibri" w:eastAsia="Calibri"/>
                <w:b/>
                <w:color w:val="52606D"/>
                <w:sz w:val="16"/>
              </w:rPr>
              <w:t>FORMAT</w:t>
            </w:r>
          </w:p>
          <w:p>
            <w:pPr>
              <w:spacing w:after="0"/>
            </w:pPr>
            <w:r>
              <w:rPr>
                <w:rFonts w:ascii="Calibri" w:hAnsi="Calibri" w:eastAsia="Calibri"/>
                <w:b/>
                <w:color w:val="17365D"/>
                <w:sz w:val="20"/>
              </w:rPr>
              <w:t>Curated + de-duplicated</w:t>
            </w:r>
          </w:p>
        </w:tc>
      </w:tr>
    </w:tbl>
    <w:p>
      <w:pPr>
        <w:spacing w:after="4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E8EEF5"/>
            <w:tcMar>
              <w:top w:w="130" w:type="dxa"/>
              <w:start w:w="170" w:type="dxa"/>
              <w:bottom w:w="130" w:type="dxa"/>
              <w:end w:w="170" w:type="dxa"/>
            </w:tcMar>
          </w:tcPr>
          <w:p>
            <w:pPr>
              <w:spacing w:after="40"/>
            </w:pPr>
            <w:r>
              <w:rPr>
                <w:rFonts w:ascii="Calibri" w:hAnsi="Calibri" w:eastAsia="Calibri"/>
                <w:b/>
                <w:color w:val="2E74B5"/>
                <w:sz w:val="21"/>
              </w:rPr>
              <w:t>The short answer</w:t>
            </w:r>
          </w:p>
          <w:p>
            <w:pPr>
              <w:spacing w:after="0"/>
            </w:pPr>
            <w:r>
              <w:rPr>
                <w:rFonts w:ascii="Calibri" w:hAnsi="Calibri" w:eastAsia="Calibri"/>
                <w:color w:val="1F2933"/>
                <w:sz w:val="19"/>
              </w:rPr>
              <w:t>The best immediately usable boxing-specific sources are split across video/event labels (Olympic Boxing and BoxingWeb), commentary metadata (BoxComm), and laboratory sensors (two CC BY biomechanics releases). No single open dataset covers broadcast video, punch type, contact, score, injury and athlete identity with commercial training rights. Production work will usually require first-party or directly licensed capture.</w:t>
            </w:r>
          </w:p>
        </w:tc>
      </w:tr>
    </w:tbl>
    <w:p>
      <w:pPr>
        <w:spacing w:after="0"/>
      </w:pPr>
    </w:p>
    <w:p>
      <w:pPr>
        <w:spacing w:before="240" w:after="40"/>
      </w:pPr>
      <w:r>
        <w:rPr>
          <w:rFonts w:ascii="Calibri" w:hAnsi="Calibri" w:eastAsia="Calibri"/>
          <w:b/>
          <w:color w:val="17365D"/>
          <w:sz w:val="22"/>
        </w:rPr>
        <w:t>What this document gives you</w:t>
      </w:r>
    </w:p>
    <w:p>
      <w:pPr>
        <w:pStyle w:val="ListBullet"/>
      </w:pPr>
      <w:r>
        <w:t>A practical shortlist by model objective, followed by a detailed boxing-specific catalog.</w:t>
      </w:r>
    </w:p>
    <w:p>
      <w:pPr>
        <w:pStyle w:val="ListBullet"/>
      </w:pPr>
      <w:r>
        <w:t>Clear access labels: open, limited, controlled, or described without a verified release.</w:t>
      </w:r>
    </w:p>
    <w:p>
      <w:pPr>
        <w:pStyle w:val="ListBullet"/>
      </w:pPr>
      <w:r>
        <w:t>Direct hyperlinks to data, papers, code, rules, medical guidance, schemas and annotation tools.</w:t>
      </w:r>
    </w:p>
    <w:p>
      <w:pPr>
        <w:pStyle w:val="ListBullet"/>
      </w:pPr>
      <w:r>
        <w:t>Rights, provenance, leakage and evaluation warnings that affect whether a benchmark is safe to use.</w:t>
      </w:r>
    </w:p>
    <w:p>
      <w:pPr>
        <w:pStyle w:val="SmallNote"/>
        <w:spacing w:before="200"/>
      </w:pPr>
      <w:r>
        <w:rPr>
          <w:rFonts w:ascii="Calibri" w:hAnsi="Calibri" w:eastAsia="Calibri"/>
          <w:b/>
          <w:color w:val="52606D"/>
          <w:sz w:val="17"/>
        </w:rPr>
        <w:t xml:space="preserve">Coverage note. </w:t>
      </w:r>
      <w:r>
        <w:rPr>
          <w:rFonts w:ascii="Calibri" w:hAnsi="Calibri" w:eastAsia="Calibri"/>
          <w:color w:val="52606D"/>
          <w:sz w:val="17"/>
        </w:rPr>
        <w:t>“Available” means publicly discoverable as of the audit date. Private federation, broadcaster, gym, wearable-vendor and proprietary statistics archives are outside the catalog unless a public access route or documentation page could be verified.</w:t>
      </w:r>
    </w:p>
    <w:p>
      <w:r>
        <w:br w:type="page"/>
      </w:r>
    </w:p>
    <w:p>
      <w:pPr>
        <w:pStyle w:val="Heading1"/>
      </w:pPr>
      <w:r>
        <w:t>1. Executive summary</w:t>
      </w:r>
    </w:p>
    <w:p>
      <w:r>
        <w:rPr>
          <w:rFonts w:ascii="Calibri" w:hAnsi="Calibri" w:eastAsia="Calibri"/>
          <w:color w:val="1F2933"/>
          <w:sz w:val="21"/>
        </w:rPr>
        <w:t xml:space="preserve">This catalog contains </w:t>
      </w:r>
      <w:r>
        <w:rPr>
          <w:rFonts w:ascii="Calibri" w:hAnsi="Calibri" w:eastAsia="Calibri"/>
          <w:b/>
          <w:color w:val="17365D"/>
          <w:sz w:val="21"/>
        </w:rPr>
        <w:t>boxing-specific datasets, transfer benchmarks, community releases, structured records, medical sources and authoritative documentation</w:t>
      </w:r>
      <w:r>
        <w:rPr>
          <w:rFonts w:ascii="Calibri" w:hAnsi="Calibri" w:eastAsia="Calibri"/>
          <w:color w:val="1F2933"/>
          <w:sz w:val="21"/>
        </w:rPr>
        <w:t>. It is deliberately de-duplicated: mirrors and obvious forks are recorded under a representative lineage rather than counted as new data.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E8F5F2"/>
            <w:tcMar>
              <w:top w:w="130" w:type="dxa"/>
              <w:start w:w="170" w:type="dxa"/>
              <w:bottom w:w="130" w:type="dxa"/>
              <w:end w:w="170" w:type="dxa"/>
            </w:tcMar>
          </w:tcPr>
          <w:p>
            <w:pPr>
              <w:spacing w:after="40"/>
            </w:pPr>
            <w:r>
              <w:rPr>
                <w:rFonts w:ascii="Calibri" w:hAnsi="Calibri" w:eastAsia="Calibri"/>
                <w:b/>
                <w:color w:val="1F7A5A"/>
                <w:sz w:val="21"/>
              </w:rPr>
              <w:t>Most useful immediate combination</w:t>
            </w:r>
          </w:p>
          <w:p>
            <w:pPr>
              <w:spacing w:after="0"/>
            </w:pPr>
            <w:r>
              <w:rPr>
                <w:rFonts w:ascii="Calibri" w:hAnsi="Calibri" w:eastAsia="Calibri"/>
                <w:color w:val="1F2933"/>
                <w:sz w:val="19"/>
              </w:rPr>
              <w:t>For research: Olympic Boxing or BoxingWeb for video events; the two CC BY biomechanics releases for sensor models; Open Boxing/Mendeley/Wikidata for structured features; and World Boxing/ABC/ODF documents for label definitions. For commercial deployment: use those sources as design references and pretraining only where terms allow, then collect or directly license representative bout footage with athlete, venue and broadcaster rights.</w:t>
            </w:r>
          </w:p>
        </w:tc>
      </w:tr>
    </w:tbl>
    <w:p>
      <w:pPr>
        <w:spacing w:after="0"/>
      </w:pPr>
    </w:p>
    <w:p>
      <w:pPr>
        <w:pStyle w:val="Heading2"/>
      </w:pPr>
      <w:r>
        <w:t>Best starting source by objective</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3120"/>
        <w:gridCol w:w="3120"/>
        <w:gridCol w:w="3120"/>
      </w:tblGrid>
      <w:tr>
        <w:trPr>
          <w:tblHeader w:val="true"/>
        </w:trPr>
        <w:tc>
          <w:tcPr>
            <w:tcW w:type="dxa" w:w="2232"/>
            <w:shd w:fill="E8EEF5"/>
            <w:tcMar>
              <w:top w:w="80" w:type="dxa"/>
              <w:start w:w="120" w:type="dxa"/>
              <w:bottom w:w="80" w:type="dxa"/>
              <w:end w:w="120" w:type="dxa"/>
            </w:tcMar>
            <w:vAlign w:val="center"/>
          </w:tcPr>
          <w:p>
            <w:pPr>
              <w:spacing w:after="0"/>
            </w:pPr>
            <w:r>
              <w:rPr>
                <w:rFonts w:ascii="Calibri" w:hAnsi="Calibri" w:eastAsia="Calibri"/>
                <w:b/>
                <w:color w:val="17365D"/>
                <w:sz w:val="17"/>
              </w:rPr>
              <w:t>Objective</w:t>
            </w:r>
          </w:p>
        </w:tc>
        <w:tc>
          <w:tcPr>
            <w:tcW w:type="dxa" w:w="3096"/>
            <w:shd w:fill="E8EEF5"/>
            <w:tcMar>
              <w:top w:w="80" w:type="dxa"/>
              <w:start w:w="120" w:type="dxa"/>
              <w:bottom w:w="80" w:type="dxa"/>
              <w:end w:w="120" w:type="dxa"/>
            </w:tcMar>
            <w:vAlign w:val="center"/>
          </w:tcPr>
          <w:p>
            <w:pPr>
              <w:spacing w:after="0"/>
            </w:pPr>
            <w:r>
              <w:rPr>
                <w:rFonts w:ascii="Calibri" w:hAnsi="Calibri" w:eastAsia="Calibri"/>
                <w:b/>
                <w:color w:val="17365D"/>
                <w:sz w:val="17"/>
              </w:rPr>
              <w:t>Start with</w:t>
            </w:r>
          </w:p>
        </w:tc>
        <w:tc>
          <w:tcPr>
            <w:tcW w:type="dxa" w:w="4032"/>
            <w:shd w:fill="E8EEF5"/>
            <w:tcMar>
              <w:top w:w="80" w:type="dxa"/>
              <w:start w:w="120" w:type="dxa"/>
              <w:bottom w:w="80" w:type="dxa"/>
              <w:end w:w="120" w:type="dxa"/>
            </w:tcMar>
            <w:vAlign w:val="center"/>
          </w:tcPr>
          <w:p>
            <w:pPr>
              <w:spacing w:after="0"/>
            </w:pPr>
            <w:r>
              <w:rPr>
                <w:rFonts w:ascii="Calibri" w:hAnsi="Calibri" w:eastAsia="Calibri"/>
                <w:b/>
                <w:color w:val="17365D"/>
                <w:sz w:val="17"/>
              </w:rPr>
              <w:t>Why / constraint</w:t>
            </w:r>
          </w:p>
        </w:tc>
      </w:tr>
      <w:tr>
        <w:trPr>
          <w:cantSplit w:val="true"/>
        </w:trPr>
        <w:tc>
          <w:tcPr>
            <w:tcW w:type="dxa" w:w="2232"/>
            <w:tcMar>
              <w:top w:w="80" w:type="dxa"/>
              <w:start w:w="120" w:type="dxa"/>
              <w:bottom w:w="80" w:type="dxa"/>
              <w:end w:w="120" w:type="dxa"/>
            </w:tcMar>
            <w:vAlign w:val="top"/>
          </w:tcPr>
          <w:p>
            <w:pPr>
              <w:spacing w:after="0"/>
            </w:pPr>
            <w:r>
              <w:rPr>
                <w:rFonts w:ascii="Calibri" w:hAnsi="Calibri" w:eastAsia="Calibri"/>
                <w:color w:val="1F2933"/>
                <w:sz w:val="18"/>
              </w:rPr>
              <w:t>Fine-grained punch video</w:t>
            </w:r>
          </w:p>
        </w:tc>
        <w:tc>
          <w:tcPr>
            <w:tcW w:type="dxa" w:w="3096"/>
            <w:tcMar>
              <w:top w:w="80" w:type="dxa"/>
              <w:start w:w="120" w:type="dxa"/>
              <w:bottom w:w="80" w:type="dxa"/>
              <w:end w:w="120" w:type="dxa"/>
            </w:tcMar>
            <w:vAlign w:val="top"/>
          </w:tcPr>
          <w:p>
            <w:pPr>
              <w:spacing w:after="0"/>
            </w:pPr>
            <w:r>
              <w:rPr>
                <w:rFonts w:ascii="Calibri" w:hAnsi="Calibri" w:eastAsia="Calibri"/>
                <w:color w:val="1F2933"/>
                <w:sz w:val="18"/>
              </w:rPr>
              <w:t>Olympic Boxing + BoxingWeb</w:t>
            </w:r>
          </w:p>
        </w:tc>
        <w:tc>
          <w:tcPr>
            <w:tcW w:type="dxa" w:w="4032"/>
            <w:tcMar>
              <w:top w:w="80" w:type="dxa"/>
              <w:start w:w="120" w:type="dxa"/>
              <w:bottom w:w="80" w:type="dxa"/>
              <w:end w:w="120" w:type="dxa"/>
            </w:tcMar>
            <w:vAlign w:val="top"/>
          </w:tcPr>
          <w:p>
            <w:pPr>
              <w:spacing w:after="0"/>
            </w:pPr>
            <w:r>
              <w:rPr>
                <w:rFonts w:ascii="Calibri" w:hAnsi="Calibri" w:eastAsia="Calibri"/>
                <w:color w:val="1F2933"/>
                <w:sz w:val="18"/>
              </w:rPr>
              <w:t>Rich punch/event labels; research terms or unclear media rights</w:t>
            </w:r>
          </w:p>
        </w:tc>
      </w:tr>
      <w:tr>
        <w:trPr>
          <w:cantSplit w:val="true"/>
        </w:trPr>
        <w:tc>
          <w:tcPr>
            <w:tcW w:type="dxa" w:w="2232"/>
            <w:tcMar>
              <w:top w:w="80" w:type="dxa"/>
              <w:start w:w="120" w:type="dxa"/>
              <w:bottom w:w="80" w:type="dxa"/>
              <w:end w:w="120" w:type="dxa"/>
            </w:tcMar>
            <w:vAlign w:val="top"/>
          </w:tcPr>
          <w:p>
            <w:pPr>
              <w:spacing w:after="0"/>
            </w:pPr>
            <w:r>
              <w:rPr>
                <w:rFonts w:ascii="Calibri" w:hAnsi="Calibri" w:eastAsia="Calibri"/>
                <w:color w:val="1F2933"/>
                <w:sz w:val="18"/>
              </w:rPr>
              <w:t>Boxing commentary / VLM</w:t>
            </w:r>
          </w:p>
        </w:tc>
        <w:tc>
          <w:tcPr>
            <w:tcW w:type="dxa" w:w="3096"/>
            <w:tcMar>
              <w:top w:w="80" w:type="dxa"/>
              <w:start w:w="120" w:type="dxa"/>
              <w:bottom w:w="80" w:type="dxa"/>
              <w:end w:w="120" w:type="dxa"/>
            </w:tcMar>
            <w:vAlign w:val="top"/>
          </w:tcPr>
          <w:p>
            <w:pPr>
              <w:spacing w:after="0"/>
            </w:pPr>
            <w:r>
              <w:rPr>
                <w:rFonts w:ascii="Calibri" w:hAnsi="Calibri" w:eastAsia="Calibri"/>
                <w:color w:val="1F2933"/>
                <w:sz w:val="18"/>
              </w:rPr>
              <w:t>BoxComm + licensed source video</w:t>
            </w:r>
          </w:p>
        </w:tc>
        <w:tc>
          <w:tcPr>
            <w:tcW w:type="dxa" w:w="4032"/>
            <w:tcMar>
              <w:top w:w="80" w:type="dxa"/>
              <w:start w:w="120" w:type="dxa"/>
              <w:bottom w:w="80" w:type="dxa"/>
              <w:end w:w="120" w:type="dxa"/>
            </w:tcMar>
            <w:vAlign w:val="top"/>
          </w:tcPr>
          <w:p>
            <w:pPr>
              <w:spacing w:after="0"/>
            </w:pPr>
            <w:r>
              <w:rPr>
                <w:rFonts w:ascii="Calibri" w:hAnsi="Calibri" w:eastAsia="Calibri"/>
                <w:color w:val="1F2933"/>
                <w:sz w:val="18"/>
              </w:rPr>
              <w:t>Strong language/event metadata; broadcast video must be licensed</w:t>
            </w:r>
          </w:p>
        </w:tc>
      </w:tr>
      <w:tr>
        <w:trPr>
          <w:cantSplit w:val="true"/>
        </w:trPr>
        <w:tc>
          <w:tcPr>
            <w:tcW w:type="dxa" w:w="2232"/>
            <w:tcMar>
              <w:top w:w="80" w:type="dxa"/>
              <w:start w:w="120" w:type="dxa"/>
              <w:bottom w:w="80" w:type="dxa"/>
              <w:end w:w="120" w:type="dxa"/>
            </w:tcMar>
            <w:vAlign w:val="top"/>
          </w:tcPr>
          <w:p>
            <w:pPr>
              <w:spacing w:after="0"/>
            </w:pPr>
            <w:r>
              <w:rPr>
                <w:rFonts w:ascii="Calibri" w:hAnsi="Calibri" w:eastAsia="Calibri"/>
                <w:color w:val="1F2933"/>
                <w:sz w:val="18"/>
              </w:rPr>
              <w:t>Wearable punch recognition</w:t>
            </w:r>
          </w:p>
        </w:tc>
        <w:tc>
          <w:tcPr>
            <w:tcW w:type="dxa" w:w="3096"/>
            <w:tcMar>
              <w:top w:w="80" w:type="dxa"/>
              <w:start w:w="120" w:type="dxa"/>
              <w:bottom w:w="80" w:type="dxa"/>
              <w:end w:w="120" w:type="dxa"/>
            </w:tcMar>
            <w:vAlign w:val="top"/>
          </w:tcPr>
          <w:p>
            <w:pPr>
              <w:spacing w:after="0"/>
            </w:pPr>
            <w:r>
              <w:rPr>
                <w:rFonts w:ascii="Calibri" w:hAnsi="Calibri" w:eastAsia="Calibri"/>
                <w:color w:val="1F2933"/>
                <w:sz w:val="18"/>
              </w:rPr>
              <w:t>Elite wrist IMU + stance/effective-mass sets</w:t>
            </w:r>
          </w:p>
        </w:tc>
        <w:tc>
          <w:tcPr>
            <w:tcW w:type="dxa" w:w="4032"/>
            <w:tcMar>
              <w:top w:w="80" w:type="dxa"/>
              <w:start w:w="120" w:type="dxa"/>
              <w:bottom w:w="80" w:type="dxa"/>
              <w:end w:w="120" w:type="dxa"/>
            </w:tcMar>
            <w:vAlign w:val="top"/>
          </w:tcPr>
          <w:p>
            <w:pPr>
              <w:spacing w:after="0"/>
            </w:pPr>
            <w:r>
              <w:rPr>
                <w:rFonts w:ascii="Calibri" w:hAnsi="Calibri" w:eastAsia="Calibri"/>
                <w:color w:val="1F2933"/>
                <w:sz w:val="18"/>
              </w:rPr>
              <w:t>One small license-unclear set plus two CC BY laboratory sets</w:t>
            </w:r>
          </w:p>
        </w:tc>
      </w:tr>
      <w:tr>
        <w:trPr>
          <w:cantSplit w:val="true"/>
        </w:trPr>
        <w:tc>
          <w:tcPr>
            <w:tcW w:type="dxa" w:w="2232"/>
            <w:tcMar>
              <w:top w:w="80" w:type="dxa"/>
              <w:start w:w="120" w:type="dxa"/>
              <w:bottom w:w="80" w:type="dxa"/>
              <w:end w:w="120" w:type="dxa"/>
            </w:tcMar>
            <w:vAlign w:val="top"/>
          </w:tcPr>
          <w:p>
            <w:pPr>
              <w:spacing w:after="0"/>
            </w:pPr>
            <w:r>
              <w:rPr>
                <w:rFonts w:ascii="Calibri" w:hAnsi="Calibri" w:eastAsia="Calibri"/>
                <w:color w:val="1F2933"/>
                <w:sz w:val="18"/>
              </w:rPr>
              <w:t>Force / impact regression</w:t>
            </w:r>
          </w:p>
        </w:tc>
        <w:tc>
          <w:tcPr>
            <w:tcW w:type="dxa" w:w="3096"/>
            <w:tcMar>
              <w:top w:w="80" w:type="dxa"/>
              <w:start w:w="120" w:type="dxa"/>
              <w:bottom w:w="80" w:type="dxa"/>
              <w:end w:w="120" w:type="dxa"/>
            </w:tcMar>
            <w:vAlign w:val="top"/>
          </w:tcPr>
          <w:p>
            <w:pPr>
              <w:spacing w:after="0"/>
            </w:pPr>
            <w:r>
              <w:rPr>
                <w:rFonts w:ascii="Calibri" w:hAnsi="Calibri" w:eastAsia="Calibri"/>
                <w:color w:val="1F2933"/>
                <w:sz w:val="18"/>
              </w:rPr>
              <w:t>Effective mass + stance kinetics</w:t>
            </w:r>
          </w:p>
        </w:tc>
        <w:tc>
          <w:tcPr>
            <w:tcW w:type="dxa" w:w="4032"/>
            <w:tcMar>
              <w:top w:w="80" w:type="dxa"/>
              <w:start w:w="120" w:type="dxa"/>
              <w:bottom w:w="80" w:type="dxa"/>
              <w:end w:w="120" w:type="dxa"/>
            </w:tcMar>
            <w:vAlign w:val="top"/>
          </w:tcPr>
          <w:p>
            <w:pPr>
              <w:spacing w:after="0"/>
            </w:pPr>
            <w:r>
              <w:rPr>
                <w:rFonts w:ascii="Calibri" w:hAnsi="Calibri" w:eastAsia="Calibri"/>
                <w:color w:val="1F2933"/>
                <w:sz w:val="18"/>
              </w:rPr>
              <w:t>Best explicit open licensing; athlete-level splits required</w:t>
            </w:r>
          </w:p>
        </w:tc>
      </w:tr>
      <w:tr>
        <w:trPr>
          <w:cantSplit w:val="true"/>
        </w:trPr>
        <w:tc>
          <w:tcPr>
            <w:tcW w:type="dxa" w:w="2232"/>
            <w:tcMar>
              <w:top w:w="80" w:type="dxa"/>
              <w:start w:w="120" w:type="dxa"/>
              <w:bottom w:w="80" w:type="dxa"/>
              <w:end w:w="120" w:type="dxa"/>
            </w:tcMar>
            <w:vAlign w:val="top"/>
          </w:tcPr>
          <w:p>
            <w:pPr>
              <w:spacing w:after="0"/>
            </w:pPr>
            <w:r>
              <w:rPr>
                <w:rFonts w:ascii="Calibri" w:hAnsi="Calibri" w:eastAsia="Calibri"/>
                <w:color w:val="1F2933"/>
                <w:sz w:val="18"/>
              </w:rPr>
              <w:t>Bout / purse analytics</w:t>
            </w:r>
          </w:p>
        </w:tc>
        <w:tc>
          <w:tcPr>
            <w:tcW w:type="dxa" w:w="3096"/>
            <w:tcMar>
              <w:top w:w="80" w:type="dxa"/>
              <w:start w:w="120" w:type="dxa"/>
              <w:bottom w:w="80" w:type="dxa"/>
              <w:end w:w="120" w:type="dxa"/>
            </w:tcMar>
            <w:vAlign w:val="top"/>
          </w:tcPr>
          <w:p>
            <w:pPr>
              <w:spacing w:after="0"/>
            </w:pPr>
            <w:r>
              <w:rPr>
                <w:rFonts w:ascii="Calibri" w:hAnsi="Calibri" w:eastAsia="Calibri"/>
                <w:color w:val="1F2933"/>
                <w:sz w:val="18"/>
              </w:rPr>
              <w:t>Open Boxing + Mendeley Boxing Data + Wikidata</w:t>
            </w:r>
          </w:p>
        </w:tc>
        <w:tc>
          <w:tcPr>
            <w:tcW w:type="dxa" w:w="4032"/>
            <w:tcMar>
              <w:top w:w="80" w:type="dxa"/>
              <w:start w:w="120" w:type="dxa"/>
              <w:bottom w:w="80" w:type="dxa"/>
              <w:end w:w="120" w:type="dxa"/>
            </w:tcMar>
            <w:vAlign w:val="top"/>
          </w:tcPr>
          <w:p>
            <w:pPr>
              <w:spacing w:after="0"/>
            </w:pPr>
            <w:r>
              <w:rPr>
                <w:rFonts w:ascii="Calibri" w:hAnsi="Calibri" w:eastAsia="Calibri"/>
                <w:color w:val="1F2933"/>
                <w:sz w:val="18"/>
              </w:rPr>
              <w:t>Structured features with better licensing than scraped Kaggle copies</w:t>
            </w:r>
          </w:p>
        </w:tc>
      </w:tr>
      <w:tr>
        <w:trPr>
          <w:cantSplit w:val="true"/>
        </w:trPr>
        <w:tc>
          <w:tcPr>
            <w:tcW w:type="dxa" w:w="2232"/>
            <w:tcMar>
              <w:top w:w="80" w:type="dxa"/>
              <w:start w:w="120" w:type="dxa"/>
              <w:bottom w:w="80" w:type="dxa"/>
              <w:end w:w="120" w:type="dxa"/>
            </w:tcMar>
            <w:vAlign w:val="top"/>
          </w:tcPr>
          <w:p>
            <w:pPr>
              <w:spacing w:after="0"/>
            </w:pPr>
            <w:r>
              <w:rPr>
                <w:rFonts w:ascii="Calibri" w:hAnsi="Calibri" w:eastAsia="Calibri"/>
                <w:color w:val="1F2933"/>
                <w:sz w:val="18"/>
              </w:rPr>
              <w:t>Injury / concussion research</w:t>
            </w:r>
          </w:p>
        </w:tc>
        <w:tc>
          <w:tcPr>
            <w:tcW w:type="dxa" w:w="3096"/>
            <w:tcMar>
              <w:top w:w="80" w:type="dxa"/>
              <w:start w:w="120" w:type="dxa"/>
              <w:bottom w:w="80" w:type="dxa"/>
              <w:end w:w="120" w:type="dxa"/>
            </w:tcMar>
            <w:vAlign w:val="top"/>
          </w:tcPr>
          <w:p>
            <w:pPr>
              <w:spacing w:after="0"/>
            </w:pPr>
            <w:r>
              <w:rPr>
                <w:rFonts w:ascii="Calibri" w:hAnsi="Calibri" w:eastAsia="Calibri"/>
                <w:color w:val="1F2933"/>
                <w:sz w:val="18"/>
              </w:rPr>
              <w:t>NEISS + NINDS CDEs + controlled FITBIR</w:t>
            </w:r>
          </w:p>
        </w:tc>
        <w:tc>
          <w:tcPr>
            <w:tcW w:type="dxa" w:w="4032"/>
            <w:tcMar>
              <w:top w:w="80" w:type="dxa"/>
              <w:start w:w="120" w:type="dxa"/>
              <w:bottom w:w="80" w:type="dxa"/>
              <w:end w:w="120" w:type="dxa"/>
            </w:tcMar>
            <w:vAlign w:val="top"/>
          </w:tcPr>
          <w:p>
            <w:pPr>
              <w:spacing w:after="0"/>
            </w:pPr>
            <w:r>
              <w:rPr>
                <w:rFonts w:ascii="Calibri" w:hAnsi="Calibri" w:eastAsia="Calibri"/>
                <w:color w:val="1F2933"/>
                <w:sz w:val="18"/>
              </w:rPr>
              <w:t>No open synchronized boxing video–clinical injury corpus exists</w:t>
            </w:r>
          </w:p>
        </w:tc>
      </w:tr>
      <w:tr>
        <w:trPr>
          <w:cantSplit w:val="true"/>
        </w:trPr>
        <w:tc>
          <w:tcPr>
            <w:tcW w:type="dxa" w:w="2232"/>
            <w:tcMar>
              <w:top w:w="80" w:type="dxa"/>
              <w:start w:w="120" w:type="dxa"/>
              <w:bottom w:w="80" w:type="dxa"/>
              <w:end w:w="120" w:type="dxa"/>
            </w:tcMar>
            <w:vAlign w:val="top"/>
          </w:tcPr>
          <w:p>
            <w:pPr>
              <w:spacing w:after="0"/>
            </w:pPr>
            <w:r>
              <w:rPr>
                <w:rFonts w:ascii="Calibri" w:hAnsi="Calibri" w:eastAsia="Calibri"/>
                <w:color w:val="1F2933"/>
                <w:sz w:val="18"/>
              </w:rPr>
              <w:t>Commercial vision model</w:t>
            </w:r>
          </w:p>
        </w:tc>
        <w:tc>
          <w:tcPr>
            <w:tcW w:type="dxa" w:w="3096"/>
            <w:tcMar>
              <w:top w:w="80" w:type="dxa"/>
              <w:start w:w="120" w:type="dxa"/>
              <w:bottom w:w="80" w:type="dxa"/>
              <w:end w:w="120" w:type="dxa"/>
            </w:tcMar>
            <w:vAlign w:val="top"/>
          </w:tcPr>
          <w:p>
            <w:pPr>
              <w:spacing w:after="0"/>
            </w:pPr>
            <w:r>
              <w:rPr>
                <w:rFonts w:ascii="Calibri" w:hAnsi="Calibri" w:eastAsia="Calibri"/>
                <w:color w:val="1F2933"/>
                <w:sz w:val="18"/>
              </w:rPr>
              <w:t>Licensed first-party capture + allowed transfer weights</w:t>
            </w:r>
          </w:p>
        </w:tc>
        <w:tc>
          <w:tcPr>
            <w:tcW w:type="dxa" w:w="4032"/>
            <w:tcMar>
              <w:top w:w="80" w:type="dxa"/>
              <w:start w:w="120" w:type="dxa"/>
              <w:bottom w:w="80" w:type="dxa"/>
              <w:end w:w="120" w:type="dxa"/>
            </w:tcMar>
            <w:vAlign w:val="top"/>
          </w:tcPr>
          <w:p>
            <w:pPr>
              <w:spacing w:after="0"/>
            </w:pPr>
            <w:r>
              <w:rPr>
                <w:rFonts w:ascii="Calibri" w:hAnsi="Calibri" w:eastAsia="Calibri"/>
                <w:color w:val="1F2933"/>
                <w:sz w:val="18"/>
              </w:rPr>
              <w:t>Public benchmarks rarely include commercial broadcast rights</w:t>
            </w:r>
          </w:p>
        </w:tc>
      </w:tr>
    </w:tbl>
    <w:p>
      <w:pPr>
        <w:spacing w:after="0"/>
      </w:pPr>
    </w:p>
    <w:p>
      <w:pPr>
        <w:pStyle w:val="Heading2"/>
      </w:pPr>
      <w:r>
        <w:t>Access-status legend</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4680"/>
        <w:gridCol w:w="4680"/>
      </w:tblGrid>
      <w:tr>
        <w:trPr>
          <w:tblHeader w:val="true"/>
        </w:trPr>
        <w:tc>
          <w:tcPr>
            <w:tcW w:type="dxa" w:w="1944"/>
            <w:shd w:fill="E8EEF5"/>
            <w:tcMar>
              <w:top w:w="80" w:type="dxa"/>
              <w:start w:w="120" w:type="dxa"/>
              <w:bottom w:w="80" w:type="dxa"/>
              <w:end w:w="120" w:type="dxa"/>
            </w:tcMar>
            <w:vAlign w:val="center"/>
          </w:tcPr>
          <w:p>
            <w:pPr>
              <w:keepNext/>
              <w:spacing w:after="0"/>
            </w:pPr>
            <w:r>
              <w:rPr>
                <w:rFonts w:ascii="Calibri" w:hAnsi="Calibri" w:eastAsia="Calibri"/>
                <w:b/>
                <w:color w:val="17365D"/>
                <w:sz w:val="17"/>
              </w:rPr>
              <w:t>Status</w:t>
            </w:r>
          </w:p>
        </w:tc>
        <w:tc>
          <w:tcPr>
            <w:tcW w:type="dxa" w:w="7416"/>
            <w:shd w:fill="E8EEF5"/>
            <w:tcMar>
              <w:top w:w="80" w:type="dxa"/>
              <w:start w:w="120" w:type="dxa"/>
              <w:bottom w:w="80" w:type="dxa"/>
              <w:end w:w="120" w:type="dxa"/>
            </w:tcMar>
            <w:vAlign w:val="center"/>
          </w:tcPr>
          <w:p>
            <w:pPr>
              <w:keepNext/>
              <w:spacing w:after="0"/>
            </w:pPr>
            <w:r>
              <w:rPr>
                <w:rFonts w:ascii="Calibri" w:hAnsi="Calibri" w:eastAsia="Calibri"/>
                <w:b/>
                <w:color w:val="17365D"/>
                <w:sz w:val="17"/>
              </w:rPr>
              <w:t>Meaning</w:t>
            </w:r>
          </w:p>
        </w:tc>
      </w:tr>
      <w:tr>
        <w:trPr>
          <w:cantSplit w:val="true"/>
        </w:trPr>
        <w:tc>
          <w:tcPr>
            <w:tcW w:type="dxa" w:w="1944"/>
            <w:tcMar>
              <w:top w:w="80" w:type="dxa"/>
              <w:start w:w="120" w:type="dxa"/>
              <w:bottom w:w="80" w:type="dxa"/>
              <w:end w:w="120" w:type="dxa"/>
            </w:tcMar>
            <w:vAlign w:val="top"/>
          </w:tcPr>
          <w:p>
            <w:pPr>
              <w:keepNext/>
              <w:spacing w:after="0"/>
            </w:pPr>
            <w:r>
              <w:rPr>
                <w:rFonts w:ascii="Calibri" w:hAnsi="Calibri" w:eastAsia="Calibri"/>
                <w:b/>
                <w:color w:val="1F7A5A"/>
                <w:sz w:val="17"/>
                <w:shd w:fill="E4F4EC"/>
              </w:rPr>
              <w:t xml:space="preserve">  OPEN  </w:t>
            </w:r>
          </w:p>
        </w:tc>
        <w:tc>
          <w:tcPr>
            <w:tcW w:type="dxa" w:w="7416"/>
            <w:tcMar>
              <w:top w:w="80" w:type="dxa"/>
              <w:start w:w="120" w:type="dxa"/>
              <w:bottom w:w="80" w:type="dxa"/>
              <w:end w:w="120" w:type="dxa"/>
            </w:tcMar>
            <w:vAlign w:val="top"/>
          </w:tcPr>
          <w:p>
            <w:pPr>
              <w:keepNext/>
              <w:spacing w:after="0"/>
            </w:pPr>
            <w:r>
              <w:rPr>
                <w:rFonts w:ascii="Calibri" w:hAnsi="Calibri" w:eastAsia="Calibri"/>
                <w:color w:val="1F2933"/>
                <w:sz w:val="18"/>
              </w:rPr>
              <w:t>Directly downloadable with an explicit open data license verified.</w:t>
            </w:r>
          </w:p>
        </w:tc>
      </w:tr>
      <w:tr>
        <w:trPr>
          <w:cantSplit w:val="true"/>
        </w:trPr>
        <w:tc>
          <w:tcPr>
            <w:tcW w:type="dxa" w:w="1944"/>
            <w:tcMar>
              <w:top w:w="80" w:type="dxa"/>
              <w:start w:w="120" w:type="dxa"/>
              <w:bottom w:w="80" w:type="dxa"/>
              <w:end w:w="120" w:type="dxa"/>
            </w:tcMar>
            <w:vAlign w:val="top"/>
          </w:tcPr>
          <w:p>
            <w:pPr>
              <w:keepNext/>
              <w:spacing w:after="0"/>
            </w:pPr>
            <w:r>
              <w:rPr>
                <w:rFonts w:ascii="Calibri" w:hAnsi="Calibri" w:eastAsia="Calibri"/>
                <w:b/>
                <w:color w:val="A15C00"/>
                <w:sz w:val="17"/>
                <w:shd w:fill="FFF2D6"/>
              </w:rPr>
              <w:t xml:space="preserve">  LIMITED  </w:t>
            </w:r>
          </w:p>
        </w:tc>
        <w:tc>
          <w:tcPr>
            <w:tcW w:type="dxa" w:w="7416"/>
            <w:tcMar>
              <w:top w:w="80" w:type="dxa"/>
              <w:start w:w="120" w:type="dxa"/>
              <w:bottom w:w="80" w:type="dxa"/>
              <w:end w:w="120" w:type="dxa"/>
            </w:tcMar>
            <w:vAlign w:val="top"/>
          </w:tcPr>
          <w:p>
            <w:pPr>
              <w:keepNext/>
              <w:spacing w:after="0"/>
            </w:pPr>
            <w:r>
              <w:rPr>
                <w:rFonts w:ascii="Calibri" w:hAnsi="Calibri" w:eastAsia="Calibri"/>
                <w:color w:val="1F2933"/>
                <w:sz w:val="18"/>
              </w:rPr>
              <w:t>Downloadable or reconstructable, but non-commercial, unclear, item-level or upstream media restrictions apply.</w:t>
            </w:r>
          </w:p>
        </w:tc>
      </w:tr>
      <w:tr>
        <w:trPr>
          <w:cantSplit w:val="true"/>
        </w:trPr>
        <w:tc>
          <w:tcPr>
            <w:tcW w:type="dxa" w:w="1944"/>
            <w:tcMar>
              <w:top w:w="80" w:type="dxa"/>
              <w:start w:w="120" w:type="dxa"/>
              <w:bottom w:w="80" w:type="dxa"/>
              <w:end w:w="120" w:type="dxa"/>
            </w:tcMar>
            <w:vAlign w:val="top"/>
          </w:tcPr>
          <w:p>
            <w:pPr>
              <w:keepNext/>
              <w:spacing w:after="0"/>
            </w:pPr>
            <w:r>
              <w:rPr>
                <w:rFonts w:ascii="Calibri" w:hAnsi="Calibri" w:eastAsia="Calibri"/>
                <w:b/>
                <w:color w:val="17365D"/>
                <w:sz w:val="17"/>
                <w:shd w:fill="E8EEF5"/>
              </w:rPr>
              <w:t xml:space="preserve">  CONTROLLED  </w:t>
            </w:r>
          </w:p>
        </w:tc>
        <w:tc>
          <w:tcPr>
            <w:tcW w:type="dxa" w:w="7416"/>
            <w:tcMar>
              <w:top w:w="80" w:type="dxa"/>
              <w:start w:w="120" w:type="dxa"/>
              <w:bottom w:w="80" w:type="dxa"/>
              <w:end w:w="120" w:type="dxa"/>
            </w:tcMar>
            <w:vAlign w:val="top"/>
          </w:tcPr>
          <w:p>
            <w:pPr>
              <w:keepNext/>
              <w:spacing w:after="0"/>
            </w:pPr>
            <w:r>
              <w:rPr>
                <w:rFonts w:ascii="Calibri" w:hAnsi="Calibri" w:eastAsia="Calibri"/>
                <w:color w:val="1F2933"/>
                <w:sz w:val="18"/>
              </w:rPr>
              <w:t>Registration, request, DUA, payment or written permission is required.</w:t>
            </w:r>
          </w:p>
        </w:tc>
      </w:tr>
      <w:tr>
        <w:trPr>
          <w:cantSplit w:val="true"/>
        </w:trPr>
        <w:tc>
          <w:tcPr>
            <w:tcW w:type="dxa" w:w="1944"/>
            <w:tcMar>
              <w:top w:w="80" w:type="dxa"/>
              <w:start w:w="120" w:type="dxa"/>
              <w:bottom w:w="80" w:type="dxa"/>
              <w:end w:w="120" w:type="dxa"/>
            </w:tcMar>
            <w:vAlign w:val="top"/>
          </w:tcPr>
          <w:p>
            <w:pPr>
              <w:spacing w:after="0"/>
            </w:pPr>
            <w:r>
              <w:rPr>
                <w:rFonts w:ascii="Calibri" w:hAnsi="Calibri" w:eastAsia="Calibri"/>
                <w:b/>
                <w:color w:val="58636E"/>
                <w:sz w:val="17"/>
                <w:shd w:fill="EEF1F4"/>
              </w:rPr>
              <w:t xml:space="preserve">  PAPER-ONLY  </w:t>
            </w:r>
          </w:p>
        </w:tc>
        <w:tc>
          <w:tcPr>
            <w:tcW w:type="dxa" w:w="7416"/>
            <w:tcMar>
              <w:top w:w="80" w:type="dxa"/>
              <w:start w:w="120" w:type="dxa"/>
              <w:bottom w:w="80" w:type="dxa"/>
              <w:end w:w="120" w:type="dxa"/>
            </w:tcMar>
            <w:vAlign w:val="top"/>
          </w:tcPr>
          <w:p>
            <w:pPr>
              <w:spacing w:after="0"/>
            </w:pPr>
            <w:r>
              <w:rPr>
                <w:rFonts w:ascii="Calibri" w:hAnsi="Calibri" w:eastAsia="Calibri"/>
                <w:color w:val="1F2933"/>
                <w:sz w:val="18"/>
              </w:rPr>
              <w:t>A paper/project describes the data, but no public live release and dataset license were verified.</w:t>
            </w:r>
          </w:p>
        </w:tc>
      </w:tr>
    </w:tbl>
    <w:p>
      <w:pPr>
        <w:spacing w:after="0"/>
      </w:pPr>
    </w:p>
    <w:p>
      <w:pPr>
        <w:pStyle w:val="Heading2"/>
      </w:pPr>
      <w:r>
        <w:t>Four conclusions that should shape the project</w:t>
      </w:r>
    </w:p>
    <w:p>
      <w:pPr>
        <w:pStyle w:val="ListBullet"/>
      </w:pPr>
      <w:r>
        <w:rPr>
          <w:rFonts w:ascii="Calibri" w:hAnsi="Calibri" w:eastAsia="Calibri"/>
          <w:b/>
          <w:color w:val="17365D"/>
        </w:rPr>
        <w:t>Do not equate access with permission.</w:t>
      </w:r>
      <w:r>
        <w:rPr>
          <w:rFonts w:ascii="Calibri" w:hAnsi="Calibri" w:eastAsia="Calibri"/>
          <w:color w:val="1F2933"/>
        </w:rPr>
        <w:t xml:space="preserve"> Kaggle, Zenodo, Hugging Face, YouTube and public PDFs can be accessible while still lacking ML-training or redistribution rights.</w:t>
      </w:r>
    </w:p>
    <w:p>
      <w:pPr>
        <w:pStyle w:val="ListBullet"/>
      </w:pPr>
      <w:r>
        <w:rPr>
          <w:rFonts w:ascii="Calibri" w:hAnsi="Calibri" w:eastAsia="Calibri"/>
          <w:b/>
          <w:color w:val="17365D"/>
        </w:rPr>
        <w:t>Separate every rights layer.</w:t>
      </w:r>
      <w:r>
        <w:rPr>
          <w:rFonts w:ascii="Calibri" w:hAnsi="Calibri" w:eastAsia="Calibri"/>
          <w:color w:val="1F2933"/>
        </w:rPr>
        <w:t xml:space="preserve"> Code, pretrained weights, annotations, source video, commentary, scorecards and health records can each have different owners and terms.</w:t>
      </w:r>
    </w:p>
    <w:p>
      <w:pPr>
        <w:pStyle w:val="ListBullet"/>
      </w:pPr>
      <w:r>
        <w:rPr>
          <w:rFonts w:ascii="Calibri" w:hAnsi="Calibri" w:eastAsia="Calibri"/>
          <w:b/>
          <w:color w:val="17365D"/>
        </w:rPr>
        <w:t>Split by identity and event.</w:t>
      </w:r>
      <w:r>
        <w:rPr>
          <w:rFonts w:ascii="Calibri" w:hAnsi="Calibri" w:eastAsia="Calibri"/>
          <w:color w:val="1F2933"/>
        </w:rPr>
        <w:t xml:space="preserve"> Random frames or sensor windows leak boxer, bout, camera and background identity, producing inflated test results.</w:t>
      </w:r>
    </w:p>
    <w:p>
      <w:pPr>
        <w:pStyle w:val="ListBullet"/>
      </w:pPr>
      <w:r>
        <w:rPr>
          <w:rFonts w:ascii="Calibri" w:hAnsi="Calibri" w:eastAsia="Calibri"/>
          <w:b/>
          <w:color w:val="17365D"/>
        </w:rPr>
        <w:t>Rules are label specifications, not corpora.</w:t>
      </w:r>
      <w:r>
        <w:rPr>
          <w:rFonts w:ascii="Calibri" w:hAnsi="Calibri" w:eastAsia="Calibri"/>
          <w:color w:val="1F2933"/>
        </w:rPr>
        <w:t xml:space="preserve"> World Boxing, ABC, USA Boxing and sanctioning-body manuals are authoritative ontologies; bulk text training still needs permission.</w:t>
      </w:r>
    </w:p>
    <w:p>
      <w:pPr>
        <w:pStyle w:val="Heading1"/>
      </w:pPr>
      <w:r>
        <w:t>2. Boxing-specific datasets</w:t>
      </w:r>
    </w:p>
    <w:p>
      <w:r>
        <w:rPr>
          <w:rFonts w:ascii="Calibri" w:hAnsi="Calibri" w:eastAsia="Calibri"/>
          <w:i/>
          <w:color w:val="52606D"/>
        </w:rPr>
        <w:t>The entries below are ordered by practical value and evidence quality, not by raw size. Each status describes the dataset—not the paper or code license.</w:t>
      </w:r>
    </w:p>
    <w:p>
      <w:pPr>
        <w:pStyle w:val="Heading3"/>
        <w:keepNext/>
      </w:pPr>
      <w:r>
        <w:rPr>
          <w:rFonts w:ascii="Calibri" w:hAnsi="Calibri" w:eastAsia="Calibri"/>
          <w:b/>
          <w:color w:val="17365D"/>
          <w:sz w:val="24"/>
        </w:rPr>
        <w:t>Olympic Boxing Punch Classification Video Dataset</w:t>
      </w:r>
      <w:r>
        <w:rPr>
          <w:rFonts w:ascii="Calibri" w:hAnsi="Calibri" w:eastAsia="Calibri"/>
          <w:b/>
          <w:color w:val="A15C00"/>
          <w:sz w:val="17"/>
          <w:shd w:fill="FFF2D6"/>
        </w:rPr>
        <w:t xml:space="preserve">  LIMITED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Multi-camera competition video recorded in Poland at 1080p/50 fps. The paper reports 312,774 reviewed frames, including 11,345 punch frames, with eight labels: head/body/block/miss × left/right. Faces are blurred.</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Punch detection and classification; boxer/clash detection; temporal action models; research benchmarks under competition-like viewpoints.</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Kaggle download; custom non-commercial academic teaching/research and nonprofit-research restriction. The repository's MIT license covers code, not the footage.</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Severe class imbalance; two-view labeling; source archive is very large. Preserve subject/bout separation and do not treat adjacent frames as independent samples.</w:t>
            </w:r>
          </w:p>
        </w:tc>
      </w:tr>
    </w:tbl>
    <w:p>
      <w:pPr>
        <w:spacing w:before="40" w:after="120"/>
      </w:pPr>
      <w:r>
        <w:rPr>
          <w:rFonts w:ascii="Calibri" w:hAnsi="Calibri" w:eastAsia="Calibri"/>
          <w:b/>
          <w:color w:val="52606D"/>
          <w:sz w:val="18"/>
        </w:rPr>
        <w:t xml:space="preserve">Links: </w:t>
      </w:r>
      <w:hyperlink r:id="rId11">
        <w:r>
          <w:rPr>
            <w:color w:val="0563C1"/>
            <w:u w:val="single"/>
          </w:rPr>
          <w:t>Labelled data</w:t>
        </w:r>
      </w:hyperlink>
      <w:r>
        <w:rPr>
          <w:rFonts w:ascii="Calibri" w:hAnsi="Calibri" w:eastAsia="Calibri"/>
          <w:color w:val="52606D"/>
          <w:sz w:val="18"/>
        </w:rPr>
        <w:t xml:space="preserve">  ·  </w:t>
      </w:r>
      <w:hyperlink r:id="rId12">
        <w:r>
          <w:rPr>
            <w:color w:val="0563C1"/>
            <w:u w:val="single"/>
          </w:rPr>
          <w:t>Unlabelled videos</w:t>
        </w:r>
      </w:hyperlink>
      <w:r>
        <w:rPr>
          <w:rFonts w:ascii="Calibri" w:hAnsi="Calibri" w:eastAsia="Calibri"/>
          <w:color w:val="52606D"/>
          <w:sz w:val="18"/>
        </w:rPr>
        <w:t xml:space="preserve">  ·  </w:t>
      </w:r>
      <w:hyperlink r:id="rId13">
        <w:r>
          <w:rPr>
            <w:color w:val="0563C1"/>
            <w:u w:val="single"/>
          </w:rPr>
          <w:t>Paper</w:t>
        </w:r>
      </w:hyperlink>
      <w:r>
        <w:rPr>
          <w:rFonts w:ascii="Calibri" w:hAnsi="Calibri" w:eastAsia="Calibri"/>
          <w:color w:val="52606D"/>
          <w:sz w:val="18"/>
        </w:rPr>
        <w:t xml:space="preserve">  ·  </w:t>
      </w:r>
      <w:hyperlink r:id="rId14">
        <w:r>
          <w:rPr>
            <w:color w:val="0563C1"/>
            <w:u w:val="single"/>
          </w:rPr>
          <w:t>Code</w:t>
        </w:r>
      </w:hyperlink>
    </w:p>
    <w:p>
      <w:pPr>
        <w:pStyle w:val="Heading3"/>
        <w:keepNext/>
      </w:pPr>
      <w:r>
        <w:rPr>
          <w:rFonts w:ascii="Calibri" w:hAnsi="Calibri" w:eastAsia="Calibri"/>
          <w:b/>
          <w:color w:val="17365D"/>
          <w:sz w:val="24"/>
        </w:rPr>
        <w:t>BoxingWeb — public BoxMind event dataset</w:t>
      </w:r>
      <w:r>
        <w:rPr>
          <w:rFonts w:ascii="Calibri" w:hAnsi="Calibri" w:eastAsia="Calibri"/>
          <w:b/>
          <w:color w:val="A15C00"/>
          <w:sz w:val="17"/>
          <w:shd w:fill="FFF2D6"/>
        </w:rPr>
        <w:t xml:space="preserve">  LIMITED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Fifty manually annotated elite-match rounds at 30 fps, split 40/10. Public files include MP4, skeleton PKL and event JSON with time bounds, hand, distance, punch family, target and effective/ineffective result.</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Fine-grained event detection and localization; punch/contact effectiveness; skeleton-conditioned modeling; tactical feature extraction and outcome modeling.</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Official GitHub plus Tsinghua Cloud download. The repository instructs users to consult a LICENSE, but no license file was present when audited; obtain written reuse terms.</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Do not confuse the public 50-round set with the paper's combined 80-round total: BoxingStudio's additional 30 four-camera rounds are private. Larger BoxingWeb-Full and BoxerGraph resources are not all public.</w:t>
            </w:r>
          </w:p>
        </w:tc>
      </w:tr>
    </w:tbl>
    <w:p>
      <w:pPr>
        <w:spacing w:before="40" w:after="120"/>
      </w:pPr>
      <w:r>
        <w:rPr>
          <w:rFonts w:ascii="Calibri" w:hAnsi="Calibri" w:eastAsia="Calibri"/>
          <w:b/>
          <w:color w:val="52606D"/>
          <w:sz w:val="18"/>
        </w:rPr>
        <w:t xml:space="preserve">Links: </w:t>
      </w:r>
      <w:hyperlink r:id="rId15">
        <w:r>
          <w:rPr>
            <w:color w:val="0563C1"/>
            <w:u w:val="single"/>
          </w:rPr>
          <w:t>Repository</w:t>
        </w:r>
      </w:hyperlink>
      <w:r>
        <w:rPr>
          <w:rFonts w:ascii="Calibri" w:hAnsi="Calibri" w:eastAsia="Calibri"/>
          <w:color w:val="52606D"/>
          <w:sz w:val="18"/>
        </w:rPr>
        <w:t xml:space="preserve">  ·  </w:t>
      </w:r>
      <w:hyperlink r:id="rId16">
        <w:r>
          <w:rPr>
            <w:color w:val="0563C1"/>
            <w:u w:val="single"/>
          </w:rPr>
          <w:t>Download</w:t>
        </w:r>
      </w:hyperlink>
      <w:r>
        <w:rPr>
          <w:rFonts w:ascii="Calibri" w:hAnsi="Calibri" w:eastAsia="Calibri"/>
          <w:color w:val="52606D"/>
          <w:sz w:val="18"/>
        </w:rPr>
        <w:t xml:space="preserve">  ·  </w:t>
      </w:r>
      <w:hyperlink r:id="rId17">
        <w:r>
          <w:rPr>
            <w:color w:val="0563C1"/>
            <w:u w:val="single"/>
          </w:rPr>
          <w:t>BoxMind paper</w:t>
        </w:r>
      </w:hyperlink>
    </w:p>
    <w:p>
      <w:pPr>
        <w:pStyle w:val="Heading3"/>
        <w:keepNext/>
      </w:pPr>
      <w:r>
        <w:rPr>
          <w:rFonts w:ascii="Calibri" w:hAnsi="Calibri" w:eastAsia="Calibri"/>
          <w:b/>
          <w:color w:val="17365D"/>
          <w:sz w:val="24"/>
        </w:rPr>
        <w:t>BoxComm — boxing commentary and multimodal benchmark</w:t>
      </w:r>
      <w:r>
        <w:rPr>
          <w:rFonts w:ascii="Calibri" w:hAnsi="Calibri" w:eastAsia="Calibri"/>
          <w:b/>
          <w:color w:val="A15C00"/>
          <w:sz w:val="17"/>
          <w:shd w:fill="FFF2D6"/>
        </w:rPr>
        <w:t xml:space="preserve">  LIMITED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Metadata for 445 World Boxing Championship matches (405 train, 40 evaluation) and more than 52,000 commentary sentences. Includes timestamps, ASR/commentary, punch-event JSON, skeleton PKL and commentary types.</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Commentary generation; temporal event detection; video-language alignment; tactical/contextual narration; rhythm and category-conditioned evaluation.</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Hugging Face and GitHub; non-commercial academic research. Raw broadcasts are not owned or redistributed by the authors; users receive URLs/timestamps and reconstruction tooling.</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Source links can decay, local paths may not resolve, and annotations do not grant broadcast rights. License the underlying video separately.</w:t>
            </w:r>
          </w:p>
        </w:tc>
      </w:tr>
    </w:tbl>
    <w:p>
      <w:pPr>
        <w:spacing w:before="40" w:after="120"/>
      </w:pPr>
      <w:r>
        <w:rPr>
          <w:rFonts w:ascii="Calibri" w:hAnsi="Calibri" w:eastAsia="Calibri"/>
          <w:b/>
          <w:color w:val="52606D"/>
          <w:sz w:val="18"/>
        </w:rPr>
        <w:t xml:space="preserve">Links: </w:t>
      </w:r>
      <w:hyperlink r:id="rId18">
        <w:r>
          <w:rPr>
            <w:color w:val="0563C1"/>
            <w:u w:val="single"/>
          </w:rPr>
          <w:t>Training metadata</w:t>
        </w:r>
      </w:hyperlink>
      <w:r>
        <w:rPr>
          <w:rFonts w:ascii="Calibri" w:hAnsi="Calibri" w:eastAsia="Calibri"/>
          <w:color w:val="52606D"/>
          <w:sz w:val="18"/>
        </w:rPr>
        <w:t xml:space="preserve">  ·  </w:t>
      </w:r>
      <w:hyperlink r:id="rId19">
        <w:r>
          <w:rPr>
            <w:color w:val="0563C1"/>
            <w:u w:val="single"/>
          </w:rPr>
          <w:t>Evaluation metadata</w:t>
        </w:r>
      </w:hyperlink>
      <w:r>
        <w:rPr>
          <w:rFonts w:ascii="Calibri" w:hAnsi="Calibri" w:eastAsia="Calibri"/>
          <w:color w:val="52606D"/>
          <w:sz w:val="18"/>
        </w:rPr>
        <w:t xml:space="preserve">  ·  </w:t>
      </w:r>
      <w:hyperlink r:id="rId20">
        <w:r>
          <w:rPr>
            <w:color w:val="0563C1"/>
            <w:u w:val="single"/>
          </w:rPr>
          <w:t>Project</w:t>
        </w:r>
      </w:hyperlink>
      <w:r>
        <w:rPr>
          <w:rFonts w:ascii="Calibri" w:hAnsi="Calibri" w:eastAsia="Calibri"/>
          <w:color w:val="52606D"/>
          <w:sz w:val="18"/>
        </w:rPr>
        <w:t xml:space="preserve">  ·  </w:t>
      </w:r>
      <w:hyperlink r:id="rId21">
        <w:r>
          <w:rPr>
            <w:color w:val="0563C1"/>
            <w:u w:val="single"/>
          </w:rPr>
          <w:t>Code</w:t>
        </w:r>
      </w:hyperlink>
      <w:r>
        <w:rPr>
          <w:rFonts w:ascii="Calibri" w:hAnsi="Calibri" w:eastAsia="Calibri"/>
          <w:color w:val="52606D"/>
          <w:sz w:val="18"/>
        </w:rPr>
        <w:t xml:space="preserve">  ·  </w:t>
      </w:r>
      <w:hyperlink r:id="rId22">
        <w:r>
          <w:rPr>
            <w:color w:val="0563C1"/>
            <w:u w:val="single"/>
          </w:rPr>
          <w:t>Paper</w:t>
        </w:r>
      </w:hyperlink>
    </w:p>
    <w:p>
      <w:pPr>
        <w:pStyle w:val="Heading3"/>
        <w:keepNext/>
      </w:pPr>
      <w:r>
        <w:rPr>
          <w:rFonts w:ascii="Calibri" w:hAnsi="Calibri" w:eastAsia="Calibri"/>
          <w:b/>
          <w:color w:val="17365D"/>
          <w:sz w:val="24"/>
        </w:rPr>
        <w:t>Biomechanics of Punching — Effective Mass Analysis</w:t>
      </w:r>
      <w:r>
        <w:rPr>
          <w:rFonts w:ascii="Calibri" w:hAnsi="Calibri" w:eastAsia="Calibri"/>
          <w:b/>
          <w:color w:val="1F7A5A"/>
          <w:sz w:val="17"/>
          <w:shd w:fill="E4F4EC"/>
        </w:rPr>
        <w:t xml:space="preserve">  OPEN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Raw high-frequency punching sensor workbooks, summary data, README and filtering/impulse notebooks covering jab, cross, lead hook and rear hook in a laboratory force-transfer study.</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Force, impulse and effective-mass regression; punch-type classification; sensor feature engineering; physics-informed models.</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Direct Zenodo download under CC BY 4.0. Cite the dataset and distinguish the concept record from the archived version record.</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Laboratory force-plate domain and male cohort limit direct generalization to bouts. Confirm subject IDs and split by athlete before training.</w:t>
            </w:r>
          </w:p>
        </w:tc>
      </w:tr>
    </w:tbl>
    <w:p>
      <w:pPr>
        <w:spacing w:before="40" w:after="120"/>
      </w:pPr>
      <w:r>
        <w:rPr>
          <w:rFonts w:ascii="Calibri" w:hAnsi="Calibri" w:eastAsia="Calibri"/>
          <w:b/>
          <w:color w:val="52606D"/>
          <w:sz w:val="18"/>
        </w:rPr>
        <w:t xml:space="preserve">Links: </w:t>
      </w:r>
      <w:hyperlink r:id="rId23">
        <w:r>
          <w:rPr>
            <w:color w:val="0563C1"/>
            <w:u w:val="single"/>
          </w:rPr>
          <w:t>Zenodo concept</w:t>
        </w:r>
      </w:hyperlink>
      <w:r>
        <w:rPr>
          <w:rFonts w:ascii="Calibri" w:hAnsi="Calibri" w:eastAsia="Calibri"/>
          <w:color w:val="52606D"/>
          <w:sz w:val="18"/>
        </w:rPr>
        <w:t xml:space="preserve">  ·  </w:t>
      </w:r>
      <w:hyperlink r:id="rId24">
        <w:r>
          <w:rPr>
            <w:color w:val="0563C1"/>
            <w:u w:val="single"/>
          </w:rPr>
          <w:t>Archived version</w:t>
        </w:r>
      </w:hyperlink>
      <w:r>
        <w:rPr>
          <w:rFonts w:ascii="Calibri" w:hAnsi="Calibri" w:eastAsia="Calibri"/>
          <w:color w:val="52606D"/>
          <w:sz w:val="18"/>
        </w:rPr>
        <w:t xml:space="preserve">  ·  </w:t>
      </w:r>
      <w:hyperlink r:id="rId25">
        <w:r>
          <w:rPr>
            <w:color w:val="0563C1"/>
            <w:u w:val="single"/>
          </w:rPr>
          <w:t>Metadata</w:t>
        </w:r>
      </w:hyperlink>
      <w:r>
        <w:rPr>
          <w:rFonts w:ascii="Calibri" w:hAnsi="Calibri" w:eastAsia="Calibri"/>
          <w:color w:val="52606D"/>
          <w:sz w:val="18"/>
        </w:rPr>
        <w:t xml:space="preserve">  ·  </w:t>
      </w:r>
      <w:hyperlink r:id="rId26">
        <w:r>
          <w:rPr>
            <w:color w:val="0563C1"/>
            <w:u w:val="single"/>
          </w:rPr>
          <w:t>Study</w:t>
        </w:r>
      </w:hyperlink>
    </w:p>
    <w:p>
      <w:pPr>
        <w:pStyle w:val="Heading3"/>
        <w:keepNext/>
      </w:pPr>
      <w:r>
        <w:rPr>
          <w:rFonts w:ascii="Calibri" w:hAnsi="Calibri" w:eastAsia="Calibri"/>
          <w:b/>
          <w:color w:val="17365D"/>
          <w:sz w:val="24"/>
        </w:rPr>
        <w:t>Orthodox vs southpaw stance kinetics — four punches</w:t>
      </w:r>
      <w:r>
        <w:rPr>
          <w:rFonts w:ascii="Calibri" w:hAnsi="Calibri" w:eastAsia="Calibri"/>
          <w:b/>
          <w:color w:val="1F7A5A"/>
          <w:sz w:val="17"/>
          <w:shd w:fill="E4F4EC"/>
        </w:rPr>
        <w:t xml:space="preserve">  OPEN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Synchronized fist IMU and AMTI ground-reaction-force data from 30 male boxers performing jab, cross, lead hook and rear hook in orthodox and southpaw stances. Raw/summary XLSX plus notebook; roughly 392 MB.</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Stance and punch classification; force/impulse regression; asymmetry and biomechanics studies; multimodal sensor fusion.</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Zenodo dataset under CC BY 4.0. The associated article has different CC BY-NC-ND terms, so cite each artifact under its own license.</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Male-only, controlled laboratory strikes. Use athlete-level splits and retain stance/punch hierarchy rather than flattening labels prematurely.</w:t>
            </w:r>
          </w:p>
        </w:tc>
      </w:tr>
    </w:tbl>
    <w:p>
      <w:pPr>
        <w:spacing w:before="40" w:after="120"/>
      </w:pPr>
      <w:r>
        <w:rPr>
          <w:rFonts w:ascii="Calibri" w:hAnsi="Calibri" w:eastAsia="Calibri"/>
          <w:b/>
          <w:color w:val="52606D"/>
          <w:sz w:val="18"/>
        </w:rPr>
        <w:t xml:space="preserve">Links: </w:t>
      </w:r>
      <w:hyperlink r:id="rId27">
        <w:r>
          <w:rPr>
            <w:color w:val="0563C1"/>
            <w:u w:val="single"/>
          </w:rPr>
          <w:t>Dataset</w:t>
        </w:r>
      </w:hyperlink>
      <w:r>
        <w:rPr>
          <w:rFonts w:ascii="Calibri" w:hAnsi="Calibri" w:eastAsia="Calibri"/>
          <w:color w:val="52606D"/>
          <w:sz w:val="18"/>
        </w:rPr>
        <w:t xml:space="preserve">  ·  </w:t>
      </w:r>
      <w:hyperlink r:id="rId28">
        <w:r>
          <w:rPr>
            <w:color w:val="0563C1"/>
            <w:u w:val="single"/>
          </w:rPr>
          <w:t>Paper</w:t>
        </w:r>
      </w:hyperlink>
    </w:p>
    <w:p>
      <w:pPr>
        <w:pStyle w:val="Heading3"/>
        <w:keepNext/>
      </w:pPr>
      <w:r>
        <w:rPr>
          <w:rFonts w:ascii="Calibri" w:hAnsi="Calibri" w:eastAsia="Calibri"/>
          <w:b/>
          <w:color w:val="17365D"/>
          <w:sz w:val="24"/>
        </w:rPr>
        <w:t>Straight-punch kinetics — rear cross and lead jab</w:t>
      </w:r>
      <w:r>
        <w:rPr>
          <w:rFonts w:ascii="Calibri" w:hAnsi="Calibri" w:eastAsia="Calibri"/>
          <w:b/>
          <w:color w:val="A15C00"/>
          <w:sz w:val="17"/>
          <w:shd w:fill="FFF2D6"/>
        </w:rPr>
        <w:t xml:space="preserve">  LIMITED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A 63.2 MB ZIP of Excel files with synchronized fist/forearm/upper-arm IMUs and force-plate Fx/Fy/Fz measurements, plus Python processing code for individual strikes.</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Jab-vs-cross classification; punch-force and timing regression; segment-chain feature analysis; biomechanics reproducibility.</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Direct Zenodo download, but the record's Rights field is blank. The open-access papers do not automatically license the deposited data; contact the authors before reuse beyond evaluation.</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Only two punch types; packaging and subject identifiers require inspection. Split by participant, not extracted strike window.</w:t>
            </w:r>
          </w:p>
        </w:tc>
      </w:tr>
    </w:tbl>
    <w:p>
      <w:pPr>
        <w:spacing w:before="40" w:after="120"/>
      </w:pPr>
      <w:r>
        <w:rPr>
          <w:rFonts w:ascii="Calibri" w:hAnsi="Calibri" w:eastAsia="Calibri"/>
          <w:b/>
          <w:color w:val="52606D"/>
          <w:sz w:val="18"/>
        </w:rPr>
        <w:t xml:space="preserve">Links: </w:t>
      </w:r>
      <w:hyperlink r:id="rId29">
        <w:r>
          <w:rPr>
            <w:color w:val="0563C1"/>
            <w:u w:val="single"/>
          </w:rPr>
          <w:t>Dataset</w:t>
        </w:r>
      </w:hyperlink>
      <w:r>
        <w:rPr>
          <w:rFonts w:ascii="Calibri" w:hAnsi="Calibri" w:eastAsia="Calibri"/>
          <w:color w:val="52606D"/>
          <w:sz w:val="18"/>
        </w:rPr>
        <w:t xml:space="preserve">  ·  </w:t>
      </w:r>
      <w:hyperlink r:id="rId30">
        <w:r>
          <w:rPr>
            <w:color w:val="0563C1"/>
            <w:u w:val="single"/>
          </w:rPr>
          <w:t>Code</w:t>
        </w:r>
      </w:hyperlink>
      <w:r>
        <w:rPr>
          <w:rFonts w:ascii="Calibri" w:hAnsi="Calibri" w:eastAsia="Calibri"/>
          <w:color w:val="52606D"/>
          <w:sz w:val="18"/>
        </w:rPr>
        <w:t xml:space="preserve">  ·  </w:t>
      </w:r>
      <w:hyperlink r:id="rId31">
        <w:r>
          <w:rPr>
            <w:color w:val="0563C1"/>
            <w:u w:val="single"/>
          </w:rPr>
          <w:t>Study</w:t>
        </w:r>
      </w:hyperlink>
    </w:p>
    <w:p>
      <w:pPr>
        <w:pStyle w:val="Heading3"/>
        <w:keepNext/>
      </w:pPr>
      <w:r>
        <w:rPr>
          <w:rFonts w:ascii="Calibri" w:hAnsi="Calibri" w:eastAsia="Calibri"/>
          <w:b/>
          <w:color w:val="17365D"/>
          <w:sz w:val="24"/>
        </w:rPr>
        <w:t>Elite-boxer bilateral wrist IMU punch data</w:t>
      </w:r>
      <w:r>
        <w:rPr>
          <w:rFonts w:ascii="Calibri" w:hAnsi="Calibri" w:eastAsia="Calibri"/>
          <w:b/>
          <w:color w:val="A15C00"/>
          <w:sz w:val="17"/>
          <w:shd w:fill="FFF2D6"/>
        </w:rPr>
        <w:t xml:space="preserve">  LIMITED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Six CSVs (~11.4 MB) at 200 Hz: lead/rear × jab/hook/uppercut, with bilateral triaxial accelerometer and gyroscope channels. The paper describes 320 shadowboxing punches from eight elite boxers.</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Wearable punch classification; active learning; low-latency feature extraction; bilateral signal comparison.</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Direct Zenodo download, but no explicit data license appears in the Rights field. Do not infer the article's CC BY license applies to the files.</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Very small athlete pool and controlled shadowboxing. Six released aggregates differ from the paper's richer punch taxonomy; inspect IDs and collection structure before validation.</w:t>
            </w:r>
          </w:p>
        </w:tc>
      </w:tr>
    </w:tbl>
    <w:p>
      <w:pPr>
        <w:spacing w:before="40" w:after="120"/>
      </w:pPr>
      <w:r>
        <w:rPr>
          <w:rFonts w:ascii="Calibri" w:hAnsi="Calibri" w:eastAsia="Calibri"/>
          <w:b/>
          <w:color w:val="52606D"/>
          <w:sz w:val="18"/>
        </w:rPr>
        <w:t xml:space="preserve">Links: </w:t>
      </w:r>
      <w:hyperlink r:id="rId32">
        <w:r>
          <w:rPr>
            <w:color w:val="0563C1"/>
            <w:u w:val="single"/>
          </w:rPr>
          <w:t>Dataset</w:t>
        </w:r>
      </w:hyperlink>
      <w:r>
        <w:rPr>
          <w:rFonts w:ascii="Calibri" w:hAnsi="Calibri" w:eastAsia="Calibri"/>
          <w:color w:val="52606D"/>
          <w:sz w:val="18"/>
        </w:rPr>
        <w:t xml:space="preserve">  ·  </w:t>
      </w:r>
      <w:hyperlink r:id="rId33">
        <w:r>
          <w:rPr>
            <w:color w:val="0563C1"/>
            <w:u w:val="single"/>
          </w:rPr>
          <w:t>Paper</w:t>
        </w:r>
      </w:hyperlink>
    </w:p>
    <w:p>
      <w:pPr>
        <w:pStyle w:val="Heading3"/>
        <w:keepNext/>
      </w:pPr>
      <w:r>
        <w:rPr>
          <w:rFonts w:ascii="Calibri" w:hAnsi="Calibri" w:eastAsia="Calibri"/>
          <w:b/>
          <w:color w:val="17365D"/>
          <w:sz w:val="24"/>
        </w:rPr>
        <w:t>DRCA-MLHM boxing head-impact subset</w:t>
      </w:r>
      <w:r>
        <w:rPr>
          <w:rFonts w:ascii="Calibri" w:hAnsi="Calibri" w:eastAsia="Calibri"/>
          <w:b/>
          <w:color w:val="A15C00"/>
          <w:sz w:val="17"/>
          <w:shd w:fill="FFF2D6"/>
        </w:rPr>
        <w:t xml:space="preserve">  LIMITED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A boxing subset of 260 head impacts from Prevent Biometrics Hybrid instrumented mouthguards, with linear/angular kinematics and derived temporal/spectral features used to predict brain strain and strain rate.</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Head-impact biomechanics; domain adaptation; surrogate prediction of whole-brain maximum principal strain and strain rate.</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The paper points to a public GitHub repository for associated code/data, but no explicit repository or data license was verified.</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Kinematics/biomechanical targets are not clinical diagnoses. Treat athlete privacy and device calibration as material constraints; confirm reuse permission.</w:t>
            </w:r>
          </w:p>
        </w:tc>
      </w:tr>
    </w:tbl>
    <w:p>
      <w:pPr>
        <w:spacing w:before="40" w:after="120"/>
      </w:pPr>
      <w:r>
        <w:rPr>
          <w:rFonts w:ascii="Calibri" w:hAnsi="Calibri" w:eastAsia="Calibri"/>
          <w:b/>
          <w:color w:val="52606D"/>
          <w:sz w:val="18"/>
        </w:rPr>
        <w:t xml:space="preserve">Links: </w:t>
      </w:r>
      <w:hyperlink r:id="rId34">
        <w:r>
          <w:rPr>
            <w:color w:val="0563C1"/>
            <w:u w:val="single"/>
          </w:rPr>
          <w:t>Repository</w:t>
        </w:r>
      </w:hyperlink>
      <w:r>
        <w:rPr>
          <w:rFonts w:ascii="Calibri" w:hAnsi="Calibri" w:eastAsia="Calibri"/>
          <w:color w:val="52606D"/>
          <w:sz w:val="18"/>
        </w:rPr>
        <w:t xml:space="preserve">  ·  </w:t>
      </w:r>
      <w:hyperlink r:id="rId35">
        <w:r>
          <w:rPr>
            <w:color w:val="0563C1"/>
            <w:u w:val="single"/>
          </w:rPr>
          <w:t>Paper</w:t>
        </w:r>
      </w:hyperlink>
    </w:p>
    <w:p>
      <w:pPr>
        <w:pStyle w:val="Heading3"/>
        <w:keepNext/>
      </w:pPr>
      <w:r>
        <w:rPr>
          <w:rFonts w:ascii="Calibri" w:hAnsi="Calibri" w:eastAsia="Calibri"/>
          <w:b/>
          <w:color w:val="17365D"/>
          <w:sz w:val="24"/>
        </w:rPr>
        <w:t>Combat Sports Dataset — Zenodo / Roboflow</w:t>
      </w:r>
      <w:r>
        <w:rPr>
          <w:rFonts w:ascii="Calibri" w:hAnsi="Calibri" w:eastAsia="Calibri"/>
          <w:b/>
          <w:color w:val="A15C00"/>
          <w:sz w:val="17"/>
          <w:shd w:fill="FFF2D6"/>
        </w:rPr>
        <w:t xml:space="preserve">  LIMITED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7,757 640×640 images for YOLO-style training with boxing bag, cross, high guard, hook, kick, low guard and person labels; approximately 391 MB.</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Object/action detection bootstrapping for gyms, bags, guards and broad strikes; pretraining before boxing-specific fine-tuning.</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Zenodo archive and originating Roboflow project. The description says Public Domain, while Zenodo's formal Rights field is empty; verify the upstream media chain.</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Mixed combat-sport content and broad labels. De-duplicate augmented images and audit source-media copyright before commercial use.</w:t>
            </w:r>
          </w:p>
        </w:tc>
      </w:tr>
    </w:tbl>
    <w:p>
      <w:pPr>
        <w:spacing w:before="40" w:after="120"/>
      </w:pPr>
      <w:r>
        <w:rPr>
          <w:rFonts w:ascii="Calibri" w:hAnsi="Calibri" w:eastAsia="Calibri"/>
          <w:b/>
          <w:color w:val="52606D"/>
          <w:sz w:val="18"/>
        </w:rPr>
        <w:t xml:space="preserve">Links: </w:t>
      </w:r>
      <w:hyperlink r:id="rId36">
        <w:r>
          <w:rPr>
            <w:color w:val="0563C1"/>
            <w:u w:val="single"/>
          </w:rPr>
          <w:t>Zenodo</w:t>
        </w:r>
      </w:hyperlink>
      <w:r>
        <w:rPr>
          <w:rFonts w:ascii="Calibri" w:hAnsi="Calibri" w:eastAsia="Calibri"/>
          <w:color w:val="52606D"/>
          <w:sz w:val="18"/>
        </w:rPr>
        <w:t xml:space="preserve">  ·  </w:t>
      </w:r>
      <w:hyperlink r:id="rId37">
        <w:r>
          <w:rPr>
            <w:color w:val="0563C1"/>
            <w:u w:val="single"/>
          </w:rPr>
          <w:t>Roboflow source</w:t>
        </w:r>
      </w:hyperlink>
    </w:p>
    <w:p>
      <w:pPr>
        <w:pStyle w:val="Heading3"/>
        <w:keepNext/>
      </w:pPr>
      <w:r>
        <w:rPr>
          <w:rFonts w:ascii="Calibri" w:hAnsi="Calibri" w:eastAsia="Calibri"/>
          <w:b/>
          <w:color w:val="17365D"/>
          <w:sz w:val="24"/>
        </w:rPr>
        <w:t>NealBeans / BoxingDataset — clipped Olympic derivative</w:t>
      </w:r>
      <w:r>
        <w:rPr>
          <w:rFonts w:ascii="Calibri" w:hAnsi="Calibri" w:eastAsia="Calibri"/>
          <w:b/>
          <w:color w:val="A15C00"/>
          <w:sz w:val="17"/>
          <w:shd w:fill="FFF2D6"/>
        </w:rPr>
        <w:t xml:space="preserve">  LIMITED  </w:t>
      </w:r>
    </w:p>
    <w:tbl>
      <w:tblPr>
        <w:tblW w:type="auto" w:w="0"/>
        <w:jc w:val="center"/>
        <w:tblLayout w:type="fixed"/>
        <w:tblLook w:firstColumn="1" w:firstRow="1" w:lastColumn="0" w:lastRow="0" w:noHBand="0" w:noVBand="1" w:val="04A0"/>
        <w:tblBorders>
          <w:top w:val="single" w:sz="3" w:space="0" w:color="D8DEE6"/>
          <w:left w:val="single" w:sz="3" w:space="0" w:color="D8DEE6"/>
          <w:bottom w:val="single" w:sz="3" w:space="0" w:color="D8DEE6"/>
          <w:right w:val="single" w:sz="3" w:space="0" w:color="D8DEE6"/>
          <w:insideH w:val="single" w:sz="3" w:space="0" w:color="D8DEE6"/>
          <w:insideV w:val="single" w:sz="3" w:space="0" w:color="D8DEE6"/>
        </w:tblBorders>
      </w:tblPr>
      <w:tblGrid>
        <w:gridCol w:w="4680"/>
        <w:gridCol w:w="4680"/>
      </w:tblGrid>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Snapshot</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A derivative card describing 2,278 short clips totaling 1,562.9 seconds, with Olympic Boxing's eight classes and per-clip metadata such as timestamps, duration, source and fps.</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Best ML uses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Short-clip classifiers and VLM fine-tuning experiments when the source Olympic media is available.</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Access &amp; rights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Hugging Face; license marked 'other' and inherits the original non-commercial restriction.</w:t>
            </w:r>
          </w:p>
        </w:tc>
      </w:tr>
      <w:tr>
        <w:trPr>
          <w:cantSplit w:val="true"/>
        </w:trPr>
        <w:tc>
          <w:tcPr>
            <w:tcW w:type="dxa" w:w="1728"/>
            <w:tcMar>
              <w:top w:w="75" w:type="dxa"/>
              <w:start w:w="110" w:type="dxa"/>
              <w:bottom w:w="75" w:type="dxa"/>
              <w:end w:w="110" w:type="dxa"/>
            </w:tcMar>
            <w:shd w:fill="F4F6F8"/>
            <w:vAlign w:val="top"/>
          </w:tcPr>
          <w:p>
            <w:pPr>
              <w:keepNext/>
              <w:spacing w:after="0"/>
            </w:pPr>
            <w:r>
              <w:rPr>
                <w:rFonts w:ascii="Calibri" w:hAnsi="Calibri" w:eastAsia="Calibri"/>
                <w:b/>
                <w:color w:val="52606D"/>
                <w:sz w:val="17"/>
              </w:rPr>
              <w:t>Watch-outs</w:t>
            </w:r>
          </w:p>
        </w:tc>
        <w:tc>
          <w:tcPr>
            <w:tcW w:type="dxa" w:w="7632"/>
            <w:tcMar>
              <w:top w:w="75" w:type="dxa"/>
              <w:start w:w="120" w:type="dxa"/>
              <w:bottom w:w="75" w:type="dxa"/>
              <w:end w:w="120" w:type="dxa"/>
            </w:tcMar>
            <w:vAlign w:val="top"/>
          </w:tcPr>
          <w:p>
            <w:pPr>
              <w:keepNext/>
              <w:spacing w:after="0"/>
            </w:pPr>
            <w:r>
              <w:rPr>
                <w:rFonts w:ascii="Calibri" w:hAnsi="Calibri" w:eastAsia="Calibri"/>
                <w:color w:val="1F2933"/>
                <w:sz w:val="18"/>
              </w:rPr>
              <w:t>Not independent data. The audited repository tree exposed only about 1.16 MB of CSV/JSONL metadata and no MP4 payloads, so reconstruct from the licensed Kaggle source if permitted.</w:t>
            </w:r>
          </w:p>
        </w:tc>
      </w:tr>
    </w:tbl>
    <w:p>
      <w:pPr>
        <w:spacing w:before="40" w:after="120"/>
      </w:pPr>
      <w:r>
        <w:rPr>
          <w:rFonts w:ascii="Calibri" w:hAnsi="Calibri" w:eastAsia="Calibri"/>
          <w:b/>
          <w:color w:val="52606D"/>
          <w:sz w:val="18"/>
        </w:rPr>
        <w:t xml:space="preserve">Links: </w:t>
      </w:r>
      <w:hyperlink r:id="rId38">
        <w:r>
          <w:rPr>
            <w:color w:val="0563C1"/>
            <w:u w:val="single"/>
          </w:rPr>
          <w:t>Dataset card</w:t>
        </w:r>
      </w:hyperlink>
      <w:r>
        <w:rPr>
          <w:rFonts w:ascii="Calibri" w:hAnsi="Calibri" w:eastAsia="Calibri"/>
          <w:color w:val="52606D"/>
          <w:sz w:val="18"/>
        </w:rPr>
        <w:t xml:space="preserve">  ·  </w:t>
      </w:r>
      <w:hyperlink r:id="rId39">
        <w:r>
          <w:rPr>
            <w:color w:val="0563C1"/>
            <w:u w:val="single"/>
          </w:rPr>
          <w:t>README</w:t>
        </w:r>
      </w:hyperlink>
    </w:p>
    <w:p>
      <w:pPr>
        <w:pStyle w:val="Heading2"/>
      </w:pPr>
      <w:r>
        <w:t>Additional public but weakly documented sources</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340"/>
        <w:gridCol w:w="2340"/>
        <w:gridCol w:w="2340"/>
        <w:gridCol w:w="2340"/>
      </w:tblGrid>
      <w:tr>
        <w:trPr>
          <w:tblHeader w:val="true"/>
        </w:trPr>
        <w:tc>
          <w:tcPr>
            <w:tcW w:type="dxa" w:w="1944"/>
            <w:shd w:fill="E8EEF5"/>
            <w:tcMar>
              <w:top w:w="80" w:type="dxa"/>
              <w:start w:w="120" w:type="dxa"/>
              <w:bottom w:w="80" w:type="dxa"/>
              <w:end w:w="120" w:type="dxa"/>
            </w:tcMar>
            <w:vAlign w:val="center"/>
          </w:tcPr>
          <w:p>
            <w:pPr>
              <w:spacing w:after="0"/>
            </w:pPr>
            <w:r>
              <w:rPr>
                <w:rFonts w:ascii="Calibri" w:hAnsi="Calibri" w:eastAsia="Calibri"/>
                <w:b/>
                <w:color w:val="17365D"/>
                <w:sz w:val="17"/>
              </w:rPr>
              <w:t>Source</w:t>
            </w:r>
          </w:p>
        </w:tc>
        <w:tc>
          <w:tcPr>
            <w:tcW w:type="dxa" w:w="2952"/>
            <w:shd w:fill="E8EEF5"/>
            <w:tcMar>
              <w:top w:w="80" w:type="dxa"/>
              <w:start w:w="120" w:type="dxa"/>
              <w:bottom w:w="80" w:type="dxa"/>
              <w:end w:w="120" w:type="dxa"/>
            </w:tcMar>
            <w:vAlign w:val="center"/>
          </w:tcPr>
          <w:p>
            <w:pPr>
              <w:spacing w:after="0"/>
            </w:pPr>
            <w:r>
              <w:rPr>
                <w:rFonts w:ascii="Calibri" w:hAnsi="Calibri" w:eastAsia="Calibri"/>
                <w:b/>
                <w:color w:val="17365D"/>
                <w:sz w:val="17"/>
              </w:rPr>
              <w:t>What is there</w:t>
            </w:r>
          </w:p>
        </w:tc>
        <w:tc>
          <w:tcPr>
            <w:tcW w:type="dxa" w:w="2232"/>
            <w:shd w:fill="E8EEF5"/>
            <w:tcMar>
              <w:top w:w="80" w:type="dxa"/>
              <w:start w:w="120" w:type="dxa"/>
              <w:bottom w:w="80" w:type="dxa"/>
              <w:end w:w="120" w:type="dxa"/>
            </w:tcMar>
            <w:vAlign w:val="center"/>
          </w:tcPr>
          <w:p>
            <w:pPr>
              <w:spacing w:after="0"/>
            </w:pPr>
            <w:r>
              <w:rPr>
                <w:rFonts w:ascii="Calibri" w:hAnsi="Calibri" w:eastAsia="Calibri"/>
                <w:b/>
                <w:color w:val="17365D"/>
                <w:sz w:val="17"/>
              </w:rPr>
              <w:t>Access</w:t>
            </w:r>
          </w:p>
        </w:tc>
        <w:tc>
          <w:tcPr>
            <w:tcW w:type="dxa" w:w="2232"/>
            <w:shd w:fill="E8EEF5"/>
            <w:tcMar>
              <w:top w:w="80" w:type="dxa"/>
              <w:start w:w="120" w:type="dxa"/>
              <w:bottom w:w="80" w:type="dxa"/>
              <w:end w:w="120" w:type="dxa"/>
            </w:tcMar>
            <w:vAlign w:val="center"/>
          </w:tcPr>
          <w:p>
            <w:pPr>
              <w:spacing w:after="0"/>
            </w:pPr>
            <w:r>
              <w:rPr>
                <w:rFonts w:ascii="Calibri" w:hAnsi="Calibri" w:eastAsia="Calibri"/>
                <w:b/>
                <w:color w:val="17365D"/>
                <w:sz w:val="17"/>
              </w:rPr>
              <w:t>Assessment</w:t>
            </w:r>
          </w:p>
        </w:tc>
      </w:tr>
      <w:tr>
        <w:trPr>
          <w:cantSplit w:val="true"/>
        </w:trPr>
        <w:tc>
          <w:tcPr>
            <w:tcW w:type="dxa" w:w="1944"/>
            <w:tcMar>
              <w:top w:w="80" w:type="dxa"/>
              <w:start w:w="120" w:type="dxa"/>
              <w:bottom w:w="80" w:type="dxa"/>
              <w:end w:w="120" w:type="dxa"/>
            </w:tcMar>
            <w:vAlign w:val="top"/>
          </w:tcPr>
          <w:p>
            <w:pPr>
              <w:spacing w:after="0"/>
            </w:pPr>
            <w:hyperlink r:id="rId40">
              <w:r>
                <w:rPr>
                  <w:color w:val="0563C1"/>
                  <w:u w:val="single"/>
                </w:rPr>
                <w:t>punch_dataset</w:t>
              </w:r>
            </w:hyperlink>
          </w:p>
        </w:tc>
        <w:tc>
          <w:tcPr>
            <w:tcW w:type="dxa" w:w="2952"/>
            <w:tcMar>
              <w:top w:w="80" w:type="dxa"/>
              <w:start w:w="120" w:type="dxa"/>
              <w:bottom w:w="80" w:type="dxa"/>
              <w:end w:w="120" w:type="dxa"/>
            </w:tcMar>
            <w:vAlign w:val="top"/>
          </w:tcPr>
          <w:p>
            <w:pPr>
              <w:spacing w:after="0"/>
            </w:pPr>
            <w:r>
              <w:rPr>
                <w:rFonts w:ascii="Calibri" w:hAnsi="Calibri" w:eastAsia="Calibri"/>
                <w:color w:val="1F2933"/>
                <w:sz w:val="17"/>
              </w:rPr>
              <w:t>Sparse files for straight/swing/uppercut/uraken × left/right</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7"/>
              </w:rPr>
              <w:t>Public GitHub; no README, schema, sample count or license</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7"/>
              </w:rPr>
              <w:t>Inspect manually; provenance not adequate for production</w:t>
            </w:r>
          </w:p>
        </w:tc>
      </w:tr>
      <w:tr>
        <w:trPr>
          <w:cantSplit w:val="true"/>
        </w:trPr>
        <w:tc>
          <w:tcPr>
            <w:tcW w:type="dxa" w:w="1944"/>
            <w:tcMar>
              <w:top w:w="80" w:type="dxa"/>
              <w:start w:w="120" w:type="dxa"/>
              <w:bottom w:w="80" w:type="dxa"/>
              <w:end w:w="120" w:type="dxa"/>
            </w:tcMar>
            <w:vAlign w:val="top"/>
          </w:tcPr>
          <w:p>
            <w:pPr>
              <w:spacing w:after="0"/>
            </w:pPr>
            <w:hyperlink r:id="rId41">
              <w:r>
                <w:rPr>
                  <w:color w:val="0563C1"/>
                  <w:u w:val="single"/>
                </w:rPr>
                <w:t>PoseC3D boxing project</w:t>
              </w:r>
            </w:hyperlink>
          </w:p>
        </w:tc>
        <w:tc>
          <w:tcPr>
            <w:tcW w:type="dxa" w:w="2952"/>
            <w:tcMar>
              <w:top w:w="80" w:type="dxa"/>
              <w:start w:w="120" w:type="dxa"/>
              <w:bottom w:w="80" w:type="dxa"/>
              <w:end w:w="120" w:type="dxa"/>
            </w:tcMar>
            <w:vAlign w:val="top"/>
          </w:tcPr>
          <w:p>
            <w:pPr>
              <w:spacing w:after="0"/>
            </w:pPr>
            <w:r>
              <w:rPr>
                <w:rFonts w:ascii="Calibri" w:hAnsi="Calibri" w:eastAsia="Calibri"/>
                <w:color w:val="1F2933"/>
                <w:sz w:val="17"/>
              </w:rPr>
              <w:t>Community PKL keypoints; ~270 train / 70 validation; six punches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7"/>
              </w:rPr>
              <w:t>Branch dbhargav-dev; no clear data license/provenance</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7"/>
              </w:rPr>
              <w:t>Useful implementation example, not a clean benchmark</w:t>
            </w:r>
          </w:p>
        </w:tc>
      </w:tr>
    </w:tbl>
    <w:p>
      <w:pPr>
        <w:spacing w:after="0"/>
      </w:pPr>
    </w:p>
    <w:p>
      <w:pPr>
        <w:pStyle w:val="Heading2"/>
      </w:pPr>
      <w:r>
        <w:t>Described in research, but not presently public</w:t>
      </w:r>
    </w:p>
    <w:p>
      <w:r>
        <w:rPr>
          <w:rFonts w:ascii="Calibri" w:hAnsi="Calibri" w:eastAsia="Calibri"/>
          <w:color w:val="52606D"/>
        </w:rPr>
        <w:t>These are valuable leads for author outreach or methodology review. They should not be placed in a training plan as downloadable data until access and rights are confirmed.</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3120"/>
        <w:gridCol w:w="3120"/>
        <w:gridCol w:w="3120"/>
      </w:tblGrid>
      <w:tr>
        <w:trPr>
          <w:tblHeader w:val="true"/>
        </w:trPr>
        <w:tc>
          <w:tcPr>
            <w:tcW w:type="dxa" w:w="2376"/>
            <w:shd w:fill="E8EEF5"/>
            <w:tcMar>
              <w:top w:w="80" w:type="dxa"/>
              <w:start w:w="120" w:type="dxa"/>
              <w:bottom w:w="80" w:type="dxa"/>
              <w:end w:w="120" w:type="dxa"/>
            </w:tcMar>
            <w:vAlign w:val="center"/>
          </w:tcPr>
          <w:p>
            <w:pPr>
              <w:spacing w:after="0"/>
            </w:pPr>
            <w:r>
              <w:rPr>
                <w:rFonts w:ascii="Calibri" w:hAnsi="Calibri" w:eastAsia="Calibri"/>
                <w:b/>
                <w:color w:val="17365D"/>
                <w:sz w:val="17"/>
              </w:rPr>
              <w:t>Study / dataset</w:t>
            </w:r>
          </w:p>
        </w:tc>
        <w:tc>
          <w:tcPr>
            <w:tcW w:type="dxa" w:w="5976"/>
            <w:shd w:fill="E8EEF5"/>
            <w:tcMar>
              <w:top w:w="80" w:type="dxa"/>
              <w:start w:w="120" w:type="dxa"/>
              <w:bottom w:w="80" w:type="dxa"/>
              <w:end w:w="120" w:type="dxa"/>
            </w:tcMar>
            <w:vAlign w:val="center"/>
          </w:tcPr>
          <w:p>
            <w:pPr>
              <w:spacing w:after="0"/>
            </w:pPr>
            <w:r>
              <w:rPr>
                <w:rFonts w:ascii="Calibri" w:hAnsi="Calibri" w:eastAsia="Calibri"/>
                <w:b/>
                <w:color w:val="17365D"/>
                <w:sz w:val="17"/>
              </w:rPr>
              <w:t>Verified description</w:t>
            </w:r>
          </w:p>
        </w:tc>
        <w:tc>
          <w:tcPr>
            <w:tcW w:type="dxa" w:w="1008"/>
            <w:shd w:fill="E8EEF5"/>
            <w:tcMar>
              <w:top w:w="80" w:type="dxa"/>
              <w:start w:w="120" w:type="dxa"/>
              <w:bottom w:w="80" w:type="dxa"/>
              <w:end w:w="120" w:type="dxa"/>
            </w:tcMar>
            <w:vAlign w:val="center"/>
          </w:tcPr>
          <w:p>
            <w:pPr>
              <w:spacing w:after="0"/>
            </w:pPr>
            <w:r>
              <w:rPr>
                <w:rFonts w:ascii="Calibri" w:hAnsi="Calibri" w:eastAsia="Calibri"/>
                <w:b/>
                <w:color w:val="17365D"/>
                <w:sz w:val="17"/>
              </w:rPr>
              <w:t>Status</w:t>
            </w:r>
          </w:p>
        </w:tc>
      </w:tr>
      <w:tr>
        <w:trPr>
          <w:cantSplit w:val="true"/>
        </w:trPr>
        <w:tc>
          <w:tcPr>
            <w:tcW w:type="dxa" w:w="2376"/>
            <w:tcMar>
              <w:top w:w="80" w:type="dxa"/>
              <w:start w:w="120" w:type="dxa"/>
              <w:bottom w:w="80" w:type="dxa"/>
              <w:end w:w="120" w:type="dxa"/>
            </w:tcMar>
            <w:vAlign w:val="top"/>
          </w:tcPr>
          <w:p>
            <w:pPr>
              <w:spacing w:after="0"/>
            </w:pPr>
            <w:hyperlink r:id="rId42">
              <w:r>
                <w:rPr>
                  <w:color w:val="0563C1"/>
                  <w:u w:val="single"/>
                </w:rPr>
                <w:t>Motion Tape boxing</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480 performed jabs/lead hooks across shadowboxing, 5-lb-weight and heavy-bag conditions; wearable skin-strain sensors with Vicon reference. Data only on request for ethics/clinical-trial reasons.</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43">
              <w:r>
                <w:rPr>
                  <w:color w:val="0563C1"/>
                  <w:u w:val="single"/>
                </w:rPr>
                <w:t>18-class wrist-IMU strike study</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15 martial artists, 2,880 strikes at 100 Hz; six punches × shadowboxing/bag/pads. No public archive verified.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44">
              <w:r>
                <w:rPr>
                  <w:color w:val="0563C1"/>
                  <w:u w:val="single"/>
                </w:rPr>
                <w:t>ShadowPunch</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Claimed 27+ HD videos, 230,502 frames at 60 fps and punch/no-punch plus pose labels. Submission withdrawn; no live dataset or license found.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45">
              <w:r>
                <w:rPr>
                  <w:color w:val="0563C1"/>
                  <w:u w:val="single"/>
                </w:rPr>
                <w:t>BoxMAC</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Describes 15 professional boxers, 13 multi-label actions and &gt;60,000 annotated frames. Paper withdrawn; no public repository verified.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46">
              <w:r>
                <w:rPr>
                  <w:color w:val="0563C1"/>
                  <w:u w:val="single"/>
                </w:rPr>
                <w:t>BoxingVI</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Describes 6,915 segmented clips from 20 public videos/18 athletes, six punch classes and AlphaPose trajectories. No official data release or license found.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47">
              <w:r>
                <w:rPr>
                  <w:color w:val="0563C1"/>
                  <w:u w:val="single"/>
                </w:rPr>
                <w:t>Synthetic 3DCG boxing-match data</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Synthetic RGB at 30 fps plus 17-keypoint skeletons, four punches and hit/miss labels from 96 camera positions. Paper is CC BY-NC-ND; dataset not released.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48">
              <w:r>
                <w:rPr>
                  <w:color w:val="0563C1"/>
                  <w:u w:val="single"/>
                </w:rPr>
                <w:t>Multi-person physics-based boxing pose</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&gt;20 minutes of multi-camera elite sparring plus synchronized marker ground truth. Authors say data will be released; no release verified.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49">
              <w:r>
                <w:rPr>
                  <w:color w:val="0563C1"/>
                  <w:u w:val="single"/>
                </w:rPr>
                <w:t>AIS depth-boxing</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605 punches from 14 elite boxers, six fine-grained punch types with temporal labels in overhead depth imagery. No public download verified.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50">
              <w:r>
                <w:rPr>
                  <w:color w:val="0563C1"/>
                  <w:u w:val="single"/>
                </w:rPr>
                <w:t>Boxer tracking / re-identification corpus</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Describes 11 hours, 45 athletes and 189 top-view bouts. No data download or license found.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51">
              <w:r>
                <w:rPr>
                  <w:color w:val="0563C1"/>
                  <w:u w:val="single"/>
                </w:rPr>
                <w:t>RGB-D boxing-pose images</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A 280-image, person-disjoint study set with five boxing poses captured using RealSense D455. No release located.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r>
        <w:trPr>
          <w:cantSplit w:val="true"/>
        </w:trPr>
        <w:tc>
          <w:tcPr>
            <w:tcW w:type="dxa" w:w="2376"/>
            <w:tcMar>
              <w:top w:w="80" w:type="dxa"/>
              <w:start w:w="120" w:type="dxa"/>
              <w:bottom w:w="80" w:type="dxa"/>
              <w:end w:w="120" w:type="dxa"/>
            </w:tcMar>
            <w:vAlign w:val="top"/>
          </w:tcPr>
          <w:p>
            <w:pPr>
              <w:spacing w:after="0"/>
            </w:pPr>
            <w:hyperlink r:id="rId52">
              <w:r>
                <w:rPr>
                  <w:color w:val="0563C1"/>
                  <w:u w:val="single"/>
                </w:rPr>
                <w:t>FACTS boxing derivative</w:t>
              </w:r>
            </w:hyperlink>
          </w:p>
        </w:tc>
        <w:tc>
          <w:tcPr>
            <w:tcW w:type="dxa" w:w="5976"/>
            <w:tcMar>
              <w:top w:w="80" w:type="dxa"/>
              <w:start w:w="120" w:type="dxa"/>
              <w:bottom w:w="80" w:type="dxa"/>
              <w:end w:w="120" w:type="dxa"/>
            </w:tcMar>
            <w:vAlign w:val="top"/>
          </w:tcPr>
          <w:p>
            <w:pPr>
              <w:spacing w:after="0"/>
            </w:pPr>
            <w:r>
              <w:rPr>
                <w:rFonts w:ascii="Calibri" w:hAnsi="Calibri" w:eastAsia="Calibri"/>
                <w:color w:val="1F2933"/>
                <w:sz w:val="16"/>
              </w:rPr>
              <w:t>Resegments the Olympic dataset into 8,000 15-frame clips for fine-grained classification. It is a preprocessing derivative, not new footage; no persistent independent release verified.</w:t>
            </w:r>
          </w:p>
        </w:tc>
        <w:tc>
          <w:tcPr>
            <w:tcW w:type="dxa" w:w="1008"/>
            <w:tcMar>
              <w:top w:w="80" w:type="dxa"/>
              <w:start w:w="120" w:type="dxa"/>
              <w:bottom w:w="80" w:type="dxa"/>
              <w:end w:w="120" w:type="dxa"/>
            </w:tcMar>
            <w:vAlign w:val="top"/>
          </w:tcPr>
          <w:p>
            <w:pPr>
              <w:spacing w:after="0"/>
            </w:pPr>
            <w:r>
              <w:rPr>
                <w:rFonts w:ascii="Calibri" w:hAnsi="Calibri" w:eastAsia="Calibri"/>
                <w:color w:val="1F2933"/>
                <w:sz w:val="16"/>
              </w:rPr>
              <w:t>PAPER-ONLY</w:t>
            </w:r>
          </w:p>
        </w:tc>
      </w:tr>
    </w:tbl>
    <w:p>
      <w:pPr>
        <w:spacing w:after="0"/>
      </w:pPr>
    </w:p>
    <w:p>
      <w:pPr>
        <w:pStyle w:val="Heading1"/>
      </w:pPr>
      <w:r>
        <w:t>3. Transfer-learning and pose/action foundations</w:t>
      </w:r>
    </w:p>
    <w:p>
      <w:r>
        <w:rPr>
          <w:rFonts w:ascii="Calibri" w:hAnsi="Calibri" w:eastAsia="Calibri"/>
          <w:color w:val="52606D"/>
        </w:rPr>
        <w:t>These sources contain boxing, punching or useful pose/action supervision, but most do not distinguish boxing punch types or landed contact. They are best used for initialization, representation learning, or robustness testing—not as the final ground truth.</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872"/>
        <w:gridCol w:w="1872"/>
        <w:gridCol w:w="1872"/>
        <w:gridCol w:w="1872"/>
        <w:gridCol w:w="1872"/>
      </w:tblGrid>
      <w:tr>
        <w:trPr>
          <w:tblHeader w:val="true"/>
        </w:trPr>
        <w:tc>
          <w:tcPr>
            <w:tcW w:type="dxa" w:w="1728"/>
            <w:shd w:fill="E8EEF5"/>
            <w:tcMar>
              <w:top w:w="80" w:type="dxa"/>
              <w:start w:w="120" w:type="dxa"/>
              <w:bottom w:w="80" w:type="dxa"/>
              <w:end w:w="120" w:type="dxa"/>
            </w:tcMar>
            <w:vAlign w:val="center"/>
          </w:tcPr>
          <w:p>
            <w:pPr>
              <w:spacing w:after="0"/>
            </w:pPr>
            <w:r>
              <w:rPr>
                <w:rFonts w:ascii="Calibri" w:hAnsi="Calibri" w:eastAsia="Calibri"/>
                <w:b/>
                <w:color w:val="17365D"/>
                <w:sz w:val="17"/>
              </w:rPr>
              <w:t>Dataset</w:t>
            </w:r>
          </w:p>
        </w:tc>
        <w:tc>
          <w:tcPr>
            <w:tcW w:type="dxa" w:w="1512"/>
            <w:shd w:fill="E8EEF5"/>
            <w:tcMar>
              <w:top w:w="80" w:type="dxa"/>
              <w:start w:w="120" w:type="dxa"/>
              <w:bottom w:w="80" w:type="dxa"/>
              <w:end w:w="120" w:type="dxa"/>
            </w:tcMar>
            <w:vAlign w:val="center"/>
          </w:tcPr>
          <w:p>
            <w:pPr>
              <w:spacing w:after="0"/>
            </w:pPr>
            <w:r>
              <w:rPr>
                <w:rFonts w:ascii="Calibri" w:hAnsi="Calibri" w:eastAsia="Calibri"/>
                <w:b/>
                <w:color w:val="17365D"/>
                <w:sz w:val="17"/>
              </w:rPr>
              <w:t>Modality</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7365D"/>
                <w:sz w:val="17"/>
              </w:rPr>
              <w:t>Scale / relevant label</w:t>
            </w:r>
          </w:p>
        </w:tc>
        <w:tc>
          <w:tcPr>
            <w:tcW w:type="dxa" w:w="1944"/>
            <w:shd w:fill="E8EEF5"/>
            <w:tcMar>
              <w:top w:w="80" w:type="dxa"/>
              <w:start w:w="120" w:type="dxa"/>
              <w:bottom w:w="80" w:type="dxa"/>
              <w:end w:w="120" w:type="dxa"/>
            </w:tcMar>
            <w:vAlign w:val="center"/>
          </w:tcPr>
          <w:p>
            <w:pPr>
              <w:spacing w:after="0"/>
            </w:pPr>
            <w:r>
              <w:rPr>
                <w:rFonts w:ascii="Calibri" w:hAnsi="Calibri" w:eastAsia="Calibri"/>
                <w:b/>
                <w:color w:val="17365D"/>
                <w:sz w:val="17"/>
              </w:rPr>
              <w:t>Access / rights</w:t>
            </w:r>
          </w:p>
        </w:tc>
        <w:tc>
          <w:tcPr>
            <w:tcW w:type="dxa" w:w="1656"/>
            <w:shd w:fill="E8EEF5"/>
            <w:tcMar>
              <w:top w:w="80" w:type="dxa"/>
              <w:start w:w="120" w:type="dxa"/>
              <w:bottom w:w="80" w:type="dxa"/>
              <w:end w:w="120" w:type="dxa"/>
            </w:tcMar>
            <w:vAlign w:val="center"/>
          </w:tcPr>
          <w:p>
            <w:pPr>
              <w:spacing w:after="0"/>
            </w:pPr>
            <w:r>
              <w:rPr>
                <w:rFonts w:ascii="Calibri" w:hAnsi="Calibri" w:eastAsia="Calibri"/>
                <w:b/>
                <w:color w:val="17365D"/>
                <w:sz w:val="17"/>
              </w:rPr>
              <w:t>Best role</w:t>
            </w:r>
          </w:p>
        </w:tc>
      </w:tr>
      <w:tr>
        <w:trPr>
          <w:cantSplit w:val="true"/>
        </w:trPr>
        <w:tc>
          <w:tcPr>
            <w:tcW w:type="dxa" w:w="1728"/>
            <w:tcMar>
              <w:top w:w="80" w:type="dxa"/>
              <w:start w:w="120" w:type="dxa"/>
              <w:bottom w:w="80" w:type="dxa"/>
              <w:end w:w="120" w:type="dxa"/>
            </w:tcMar>
            <w:vAlign w:val="top"/>
          </w:tcPr>
          <w:p>
            <w:pPr>
              <w:spacing w:after="0"/>
            </w:pPr>
            <w:hyperlink r:id="rId53">
              <w:r>
                <w:rPr>
                  <w:color w:val="0563C1"/>
                  <w:u w:val="single"/>
                </w:rPr>
                <w:t>UCF101</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RGB video</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13,320 clips / 101 classes; Boxing Punching Bag, Boxing Speed Bag, Punch</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Research benchmark; YouTube source rights unclear</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Action pretraining; bag/air-punch scenes</w:t>
            </w:r>
          </w:p>
        </w:tc>
      </w:tr>
      <w:tr>
        <w:trPr>
          <w:cantSplit w:val="true"/>
        </w:trPr>
        <w:tc>
          <w:tcPr>
            <w:tcW w:type="dxa" w:w="1728"/>
            <w:tcMar>
              <w:top w:w="80" w:type="dxa"/>
              <w:start w:w="120" w:type="dxa"/>
              <w:bottom w:w="80" w:type="dxa"/>
              <w:end w:w="120" w:type="dxa"/>
            </w:tcMar>
            <w:vAlign w:val="top"/>
          </w:tcPr>
          <w:p>
            <w:pPr>
              <w:spacing w:after="0"/>
            </w:pPr>
            <w:hyperlink r:id="rId54">
              <w:r>
                <w:rPr>
                  <w:color w:val="0563C1"/>
                  <w:u w:val="single"/>
                </w:rPr>
                <w:t>KTH Actions</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RGB video</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2,391 sequences; 25 subjects; boxing among 6 actions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Non-commercial research + acknowledgement</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Controlled coarse boxing baseline</w:t>
            </w:r>
          </w:p>
        </w:tc>
      </w:tr>
      <w:tr>
        <w:trPr>
          <w:cantSplit w:val="true"/>
        </w:trPr>
        <w:tc>
          <w:tcPr>
            <w:tcW w:type="dxa" w:w="1728"/>
            <w:tcMar>
              <w:top w:w="80" w:type="dxa"/>
              <w:start w:w="120" w:type="dxa"/>
              <w:bottom w:w="80" w:type="dxa"/>
              <w:end w:w="120" w:type="dxa"/>
            </w:tcMar>
            <w:vAlign w:val="top"/>
          </w:tcPr>
          <w:p>
            <w:pPr>
              <w:spacing w:after="0"/>
            </w:pPr>
            <w:hyperlink r:id="rId55">
              <w:r>
                <w:rPr>
                  <w:color w:val="0563C1"/>
                  <w:u w:val="single"/>
                </w:rPr>
                <w:t>UTD-MHAD</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RGB/depth/skeleton/IMU</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861 samples; 27 actions incl. front boxing</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No clear license on listing; contact authors</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Cross-modal action and sensor fusion</w:t>
            </w:r>
          </w:p>
        </w:tc>
      </w:tr>
      <w:tr>
        <w:trPr>
          <w:cantSplit w:val="true"/>
        </w:trPr>
        <w:tc>
          <w:tcPr>
            <w:tcW w:type="dxa" w:w="1728"/>
            <w:tcMar>
              <w:top w:w="80" w:type="dxa"/>
              <w:start w:w="120" w:type="dxa"/>
              <w:bottom w:w="80" w:type="dxa"/>
              <w:end w:w="120" w:type="dxa"/>
            </w:tcMar>
            <w:vAlign w:val="top"/>
          </w:tcPr>
          <w:p>
            <w:pPr>
              <w:spacing w:after="0"/>
            </w:pPr>
            <w:hyperlink r:id="rId56">
              <w:r>
                <w:rPr>
                  <w:color w:val="0563C1"/>
                  <w:u w:val="single"/>
                </w:rPr>
                <w:t>NTU RGB+D / 120</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RGB/depth/IR/skeleton</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56,880 / 114,480 samples; punch/slap interaction</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Academic non-commercial; no redistribution</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Pose/contact pretraining at scale</w:t>
            </w:r>
          </w:p>
        </w:tc>
      </w:tr>
      <w:tr>
        <w:trPr>
          <w:cantSplit w:val="true"/>
        </w:trPr>
        <w:tc>
          <w:tcPr>
            <w:tcW w:type="dxa" w:w="1728"/>
            <w:tcMar>
              <w:top w:w="80" w:type="dxa"/>
              <w:start w:w="120" w:type="dxa"/>
              <w:bottom w:w="80" w:type="dxa"/>
              <w:end w:w="120" w:type="dxa"/>
            </w:tcMar>
            <w:vAlign w:val="top"/>
          </w:tcPr>
          <w:p>
            <w:pPr>
              <w:spacing w:after="0"/>
            </w:pPr>
            <w:hyperlink r:id="rId57">
              <w:r>
                <w:rPr>
                  <w:color w:val="0563C1"/>
                  <w:u w:val="single"/>
                </w:rPr>
                <w:t>Purdue Olympus</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12-view RGB</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12 subjects; 9 actions incl. boxing</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Signed license + credentials</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Controlled multiview viewpoint robustness</w:t>
            </w:r>
          </w:p>
        </w:tc>
      </w:tr>
      <w:tr>
        <w:trPr>
          <w:cantSplit w:val="true"/>
        </w:trPr>
        <w:tc>
          <w:tcPr>
            <w:tcW w:type="dxa" w:w="1728"/>
            <w:tcMar>
              <w:top w:w="80" w:type="dxa"/>
              <w:start w:w="120" w:type="dxa"/>
              <w:bottom w:w="80" w:type="dxa"/>
              <w:end w:w="120" w:type="dxa"/>
            </w:tcMar>
            <w:vAlign w:val="top"/>
          </w:tcPr>
          <w:p>
            <w:pPr>
              <w:spacing w:after="0"/>
            </w:pPr>
            <w:hyperlink r:id="rId58">
              <w:r>
                <w:rPr>
                  <w:color w:val="0563C1"/>
                  <w:u w:val="single"/>
                </w:rPr>
                <w:t>UCF-ARG</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Multiview RGB</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Aerial, rooftop and ground views; includes boxing</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License unclear; contact UCF</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Cross-view action recognition</w:t>
            </w:r>
          </w:p>
        </w:tc>
      </w:tr>
      <w:tr>
        <w:trPr>
          <w:cantSplit w:val="true"/>
        </w:trPr>
        <w:tc>
          <w:tcPr>
            <w:tcW w:type="dxa" w:w="1728"/>
            <w:tcMar>
              <w:top w:w="80" w:type="dxa"/>
              <w:start w:w="120" w:type="dxa"/>
              <w:bottom w:w="80" w:type="dxa"/>
              <w:end w:w="120" w:type="dxa"/>
            </w:tcMar>
            <w:vAlign w:val="top"/>
          </w:tcPr>
          <w:p>
            <w:pPr>
              <w:spacing w:after="0"/>
            </w:pPr>
            <w:hyperlink r:id="rId59">
              <w:r>
                <w:rPr>
                  <w:color w:val="0563C1"/>
                  <w:u w:val="single"/>
                </w:rPr>
                <w:t>Kinetics</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Web video IDs/times</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Up to ~650K clips; boxing/punch-related classes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Annotations/code are not source-video rights</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Large-scale checkpoint pretraining</w:t>
            </w:r>
          </w:p>
        </w:tc>
      </w:tr>
      <w:tr>
        <w:trPr>
          <w:cantSplit w:val="true"/>
        </w:trPr>
        <w:tc>
          <w:tcPr>
            <w:tcW w:type="dxa" w:w="1728"/>
            <w:tcMar>
              <w:top w:w="80" w:type="dxa"/>
              <w:start w:w="120" w:type="dxa"/>
              <w:bottom w:w="80" w:type="dxa"/>
              <w:end w:w="120" w:type="dxa"/>
            </w:tcMar>
            <w:vAlign w:val="top"/>
          </w:tcPr>
          <w:p>
            <w:pPr>
              <w:spacing w:after="0"/>
            </w:pPr>
            <w:hyperlink r:id="rId60">
              <w:r>
                <w:rPr>
                  <w:color w:val="0563C1"/>
                  <w:u w:val="single"/>
                </w:rPr>
                <w:t>HAA500</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RGB video</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10,000 clips / 500 classes; punching sandbag</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Source-media terms require review</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Fine-grained atomic action transfer</w:t>
            </w:r>
          </w:p>
        </w:tc>
      </w:tr>
      <w:tr>
        <w:trPr>
          <w:cantSplit w:val="true"/>
        </w:trPr>
        <w:tc>
          <w:tcPr>
            <w:tcW w:type="dxa" w:w="1728"/>
            <w:tcMar>
              <w:top w:w="80" w:type="dxa"/>
              <w:start w:w="120" w:type="dxa"/>
              <w:bottom w:w="80" w:type="dxa"/>
              <w:end w:w="120" w:type="dxa"/>
            </w:tcMar>
            <w:vAlign w:val="top"/>
          </w:tcPr>
          <w:p>
            <w:pPr>
              <w:spacing w:after="0"/>
            </w:pPr>
            <w:hyperlink r:id="rId61">
              <w:r>
                <w:rPr>
                  <w:color w:val="0563C1"/>
                  <w:u w:val="single"/>
                </w:rPr>
                <w:t>HMDB51</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RGB video</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6,849 clips / 51 actions; one coarse punch class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Research benchmark; third-party clips</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Legacy action transfer; not a punch taxonomy</w:t>
            </w:r>
          </w:p>
        </w:tc>
      </w:tr>
      <w:tr>
        <w:trPr>
          <w:cantSplit w:val="true"/>
        </w:trPr>
        <w:tc>
          <w:tcPr>
            <w:tcW w:type="dxa" w:w="1728"/>
            <w:tcMar>
              <w:top w:w="80" w:type="dxa"/>
              <w:start w:w="120" w:type="dxa"/>
              <w:bottom w:w="80" w:type="dxa"/>
              <w:end w:w="120" w:type="dxa"/>
            </w:tcMar>
            <w:vAlign w:val="top"/>
          </w:tcPr>
          <w:p>
            <w:pPr>
              <w:spacing w:after="0"/>
            </w:pPr>
            <w:hyperlink r:id="rId62">
              <w:r>
                <w:rPr>
                  <w:color w:val="0563C1"/>
                  <w:u w:val="single"/>
                </w:rPr>
                <w:t>MSRAction3D</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Depth/skeleton</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567 sequences; forward punch and side boxing</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Legacy dataset; verify mirror terms</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Small 3D skeleton baseline</w:t>
            </w:r>
          </w:p>
        </w:tc>
      </w:tr>
      <w:tr>
        <w:trPr>
          <w:cantSplit w:val="true"/>
        </w:trPr>
        <w:tc>
          <w:tcPr>
            <w:tcW w:type="dxa" w:w="1728"/>
            <w:tcMar>
              <w:top w:w="80" w:type="dxa"/>
              <w:start w:w="120" w:type="dxa"/>
              <w:bottom w:w="80" w:type="dxa"/>
              <w:end w:w="120" w:type="dxa"/>
            </w:tcMar>
            <w:vAlign w:val="top"/>
          </w:tcPr>
          <w:p>
            <w:pPr>
              <w:spacing w:after="0"/>
            </w:pPr>
            <w:hyperlink r:id="rId63">
              <w:r>
                <w:rPr>
                  <w:color w:val="0563C1"/>
                  <w:u w:val="single"/>
                </w:rPr>
                <w:t>AVA / AVA-Kinetics</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Localized person-actions</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Movie/YouTube segments with boxes and action labels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Annotations vs underlying-media rights differ</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Actor localization and contact actions</w:t>
            </w:r>
          </w:p>
        </w:tc>
      </w:tr>
      <w:tr>
        <w:trPr>
          <w:cantSplit w:val="true"/>
        </w:trPr>
        <w:tc>
          <w:tcPr>
            <w:tcW w:type="dxa" w:w="1728"/>
            <w:tcMar>
              <w:top w:w="80" w:type="dxa"/>
              <w:start w:w="120" w:type="dxa"/>
              <w:bottom w:w="80" w:type="dxa"/>
              <w:end w:w="120" w:type="dxa"/>
            </w:tcMar>
            <w:vAlign w:val="top"/>
          </w:tcPr>
          <w:p>
            <w:pPr>
              <w:spacing w:after="0"/>
            </w:pPr>
            <w:hyperlink r:id="rId64">
              <w:r>
                <w:rPr>
                  <w:color w:val="0563C1"/>
                  <w:u w:val="single"/>
                </w:rPr>
                <w:t>CMU MoCap boxing</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3D motion capture</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Searchable boxing motion sequences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Free incl. commercial products; no raw-data resale/crawling</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3D motion priors and retargeting</w:t>
            </w:r>
          </w:p>
        </w:tc>
      </w:tr>
      <w:tr>
        <w:trPr>
          <w:cantSplit w:val="true"/>
        </w:trPr>
        <w:tc>
          <w:tcPr>
            <w:tcW w:type="dxa" w:w="1728"/>
            <w:tcMar>
              <w:top w:w="80" w:type="dxa"/>
              <w:start w:w="120" w:type="dxa"/>
              <w:bottom w:w="80" w:type="dxa"/>
              <w:end w:w="120" w:type="dxa"/>
            </w:tcMar>
            <w:vAlign w:val="top"/>
          </w:tcPr>
          <w:p>
            <w:pPr>
              <w:spacing w:after="0"/>
            </w:pPr>
            <w:hyperlink r:id="rId65">
              <w:r>
                <w:rPr>
                  <w:color w:val="0563C1"/>
                  <w:u w:val="single"/>
                </w:rPr>
                <w:t>mmFiT</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mmWave radar</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7 fitness activities incl. boxing; 2 participants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CC BY 4.0</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Radar activity recognition proof-of-concept</w:t>
            </w:r>
          </w:p>
        </w:tc>
      </w:tr>
      <w:tr>
        <w:trPr>
          <w:cantSplit w:val="true"/>
        </w:trPr>
        <w:tc>
          <w:tcPr>
            <w:tcW w:type="dxa" w:w="1728"/>
            <w:tcMar>
              <w:top w:w="80" w:type="dxa"/>
              <w:start w:w="120" w:type="dxa"/>
              <w:bottom w:w="80" w:type="dxa"/>
              <w:end w:w="120" w:type="dxa"/>
            </w:tcMar>
            <w:vAlign w:val="top"/>
          </w:tcPr>
          <w:p>
            <w:pPr>
              <w:spacing w:after="0"/>
            </w:pPr>
            <w:hyperlink r:id="rId66">
              <w:r>
                <w:rPr>
                  <w:color w:val="0563C1"/>
                  <w:u w:val="single"/>
                </w:rPr>
                <w:t>COCO keypoints</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Images + pose</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Person keypoints; no boxing labels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Annotations CC BY 4.0; per-image licenses vary</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General pose backbone pretraining</w:t>
            </w:r>
          </w:p>
        </w:tc>
      </w:tr>
      <w:tr>
        <w:trPr>
          <w:cantSplit w:val="true"/>
        </w:trPr>
        <w:tc>
          <w:tcPr>
            <w:tcW w:type="dxa" w:w="1728"/>
            <w:tcMar>
              <w:top w:w="80" w:type="dxa"/>
              <w:start w:w="120" w:type="dxa"/>
              <w:bottom w:w="80" w:type="dxa"/>
              <w:end w:w="120" w:type="dxa"/>
            </w:tcMar>
            <w:vAlign w:val="top"/>
          </w:tcPr>
          <w:p>
            <w:pPr>
              <w:spacing w:after="0"/>
            </w:pPr>
            <w:hyperlink r:id="rId67">
              <w:r>
                <w:rPr>
                  <w:color w:val="0563C1"/>
                  <w:u w:val="single"/>
                </w:rPr>
                <w:t>MPII Human Pose</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Images + pose</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5"/>
              </w:rPr>
              <w:t>~25K images / &gt;40K people / 16 joints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YouTube-derived; review agreement</w:t>
            </w:r>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Sports-pose transfer</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FF4D6"/>
            <w:tcMar>
              <w:top w:w="130" w:type="dxa"/>
              <w:start w:w="170" w:type="dxa"/>
              <w:bottom w:w="130" w:type="dxa"/>
              <w:end w:w="170" w:type="dxa"/>
            </w:tcMar>
          </w:tcPr>
          <w:p>
            <w:pPr>
              <w:spacing w:after="40"/>
            </w:pPr>
            <w:r>
              <w:rPr>
                <w:rFonts w:ascii="Calibri" w:hAnsi="Calibri" w:eastAsia="Calibri"/>
                <w:b/>
                <w:color w:val="A15C00"/>
                <w:sz w:val="21"/>
              </w:rPr>
              <w:t>Checkpoint licensing matters too</w:t>
            </w:r>
          </w:p>
          <w:p>
            <w:pPr>
              <w:spacing w:after="0"/>
            </w:pPr>
            <w:r>
              <w:rPr>
                <w:rFonts w:ascii="Calibri" w:hAnsi="Calibri" w:eastAsia="Calibri"/>
                <w:color w:val="1F2933"/>
                <w:sz w:val="19"/>
              </w:rPr>
              <w:t>An Apache-2.0 code repository does not erase the restrictions of the dataset used to train a published weight file. Record the model card, training sources, weight license and allowed use separately from framework code.</w:t>
            </w:r>
          </w:p>
        </w:tc>
      </w:tr>
    </w:tbl>
    <w:p>
      <w:pPr>
        <w:spacing w:after="0"/>
      </w:pPr>
    </w:p>
    <w:p>
      <w:pPr>
        <w:pStyle w:val="Heading1"/>
      </w:pPr>
      <w:r>
        <w:t>4. Community-hosted datasets and discovery leads</w:t>
      </w:r>
    </w:p>
    <w:p>
      <w:r>
        <w:rPr>
          <w:rFonts w:ascii="Calibri" w:hAnsi="Calibri" w:eastAsia="Calibri"/>
          <w:color w:val="52606D"/>
        </w:rPr>
        <w:t>Community repositories can accelerate prototyping, but their uploader-selected licenses often do not establish rights to the underlying broadcast frames or web images. Treat them as leads until provenance is audited. Exact-looking mirrors and forks are consolidated below.</w:t>
      </w:r>
    </w:p>
    <w:p>
      <w:pPr>
        <w:pStyle w:val="Heading2"/>
      </w:pPr>
      <w:r>
        <w:t>Roboflow Universe — representative lineages</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872"/>
        <w:gridCol w:w="1872"/>
        <w:gridCol w:w="1872"/>
        <w:gridCol w:w="1872"/>
        <w:gridCol w:w="1872"/>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eastAsia="Calibri"/>
                <w:b/>
                <w:color w:val="17365D"/>
                <w:sz w:val="17"/>
              </w:rPr>
              <w:t>Project</w:t>
            </w:r>
          </w:p>
        </w:tc>
        <w:tc>
          <w:tcPr>
            <w:tcW w:type="dxa" w:w="1512"/>
            <w:shd w:fill="E8EEF5"/>
            <w:tcMar>
              <w:top w:w="80" w:type="dxa"/>
              <w:start w:w="120" w:type="dxa"/>
              <w:bottom w:w="80" w:type="dxa"/>
              <w:end w:w="120" w:type="dxa"/>
            </w:tcMar>
            <w:vAlign w:val="center"/>
          </w:tcPr>
          <w:p>
            <w:pPr>
              <w:spacing w:after="0"/>
            </w:pPr>
            <w:r>
              <w:rPr>
                <w:rFonts w:ascii="Calibri" w:hAnsi="Calibri" w:eastAsia="Calibri"/>
                <w:b/>
                <w:color w:val="17365D"/>
                <w:sz w:val="17"/>
              </w:rPr>
              <w:t>Scale</w:t>
            </w:r>
          </w:p>
        </w:tc>
        <w:tc>
          <w:tcPr>
            <w:tcW w:type="dxa" w:w="2232"/>
            <w:shd w:fill="E8EEF5"/>
            <w:tcMar>
              <w:top w:w="80" w:type="dxa"/>
              <w:start w:w="120" w:type="dxa"/>
              <w:bottom w:w="80" w:type="dxa"/>
              <w:end w:w="120" w:type="dxa"/>
            </w:tcMar>
            <w:vAlign w:val="center"/>
          </w:tcPr>
          <w:p>
            <w:pPr>
              <w:spacing w:after="0"/>
            </w:pPr>
            <w:r>
              <w:rPr>
                <w:rFonts w:ascii="Calibri" w:hAnsi="Calibri" w:eastAsia="Calibri"/>
                <w:b/>
                <w:color w:val="17365D"/>
                <w:sz w:val="17"/>
              </w:rPr>
              <w:t>Labels</w:t>
            </w:r>
          </w:p>
        </w:tc>
        <w:tc>
          <w:tcPr>
            <w:tcW w:type="dxa" w:w="1512"/>
            <w:shd w:fill="E8EEF5"/>
            <w:tcMar>
              <w:top w:w="80" w:type="dxa"/>
              <w:start w:w="120" w:type="dxa"/>
              <w:bottom w:w="80" w:type="dxa"/>
              <w:end w:w="120" w:type="dxa"/>
            </w:tcMar>
            <w:vAlign w:val="center"/>
          </w:tcPr>
          <w:p>
            <w:pPr>
              <w:spacing w:after="0"/>
            </w:pPr>
            <w:r>
              <w:rPr>
                <w:rFonts w:ascii="Calibri" w:hAnsi="Calibri" w:eastAsia="Calibri"/>
                <w:b/>
                <w:color w:val="17365D"/>
                <w:sz w:val="17"/>
              </w:rPr>
              <w:t>Displayed license</w:t>
            </w:r>
          </w:p>
        </w:tc>
        <w:tc>
          <w:tcPr>
            <w:tcW w:type="dxa" w:w="2304"/>
            <w:shd w:fill="E8EEF5"/>
            <w:tcMar>
              <w:top w:w="80" w:type="dxa"/>
              <w:start w:w="120" w:type="dxa"/>
              <w:bottom w:w="80" w:type="dxa"/>
              <w:end w:w="120" w:type="dxa"/>
            </w:tcMar>
            <w:vAlign w:val="center"/>
          </w:tcPr>
          <w:p>
            <w:pPr>
              <w:spacing w:after="0"/>
            </w:pPr>
            <w:r>
              <w:rPr>
                <w:rFonts w:ascii="Calibri" w:hAnsi="Calibri" w:eastAsia="Calibri"/>
                <w:b/>
                <w:color w:val="17365D"/>
                <w:sz w:val="17"/>
              </w:rPr>
              <w:t>Critical issue</w:t>
            </w:r>
          </w:p>
        </w:tc>
      </w:tr>
      <w:tr>
        <w:trPr>
          <w:cantSplit w:val="true"/>
        </w:trPr>
        <w:tc>
          <w:tcPr>
            <w:tcW w:type="dxa" w:w="1800"/>
            <w:tcMar>
              <w:top w:w="80" w:type="dxa"/>
              <w:start w:w="120" w:type="dxa"/>
              <w:bottom w:w="80" w:type="dxa"/>
              <w:end w:w="120" w:type="dxa"/>
            </w:tcMar>
            <w:vAlign w:val="top"/>
          </w:tcPr>
          <w:p>
            <w:pPr>
              <w:spacing w:after="0"/>
            </w:pPr>
            <w:hyperlink r:id="rId68">
              <w:r>
                <w:rPr>
                  <w:color w:val="0563C1"/>
                  <w:u w:val="single"/>
                </w:rPr>
                <w:t>Boxpunch Detector</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347 source / 744 generated</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11 messy bag/punch/no-punch labels</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Tiny; vertical-flip augmentation; many forks</w:t>
            </w:r>
          </w:p>
        </w:tc>
      </w:tr>
      <w:tr>
        <w:trPr>
          <w:cantSplit w:val="true"/>
        </w:trPr>
        <w:tc>
          <w:tcPr>
            <w:tcW w:type="dxa" w:w="1800"/>
            <w:tcMar>
              <w:top w:w="80" w:type="dxa"/>
              <w:start w:w="120" w:type="dxa"/>
              <w:bottom w:w="80" w:type="dxa"/>
              <w:end w:w="120" w:type="dxa"/>
            </w:tcMar>
            <w:vAlign w:val="top"/>
          </w:tcPr>
          <w:p>
            <w:pPr>
              <w:spacing w:after="0"/>
            </w:pPr>
            <w:hyperlink r:id="rId69">
              <w:r>
                <w:rPr>
                  <w:color w:val="0563C1"/>
                  <w:u w:val="single"/>
                </w:rPr>
                <w:t>Boxing Punching Detection</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2,347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bag, cross, hook, jab, no-punch, uppercut</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Claims Public Domain</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Probable Boxpunch derivative; license conflict</w:t>
            </w:r>
          </w:p>
        </w:tc>
      </w:tr>
      <w:tr>
        <w:trPr>
          <w:cantSplit w:val="true"/>
        </w:trPr>
        <w:tc>
          <w:tcPr>
            <w:tcW w:type="dxa" w:w="1800"/>
            <w:tcMar>
              <w:top w:w="80" w:type="dxa"/>
              <w:start w:w="120" w:type="dxa"/>
              <w:bottom w:w="80" w:type="dxa"/>
              <w:end w:w="120" w:type="dxa"/>
            </w:tcMar>
            <w:vAlign w:val="top"/>
          </w:tcPr>
          <w:p>
            <w:pPr>
              <w:spacing w:after="0"/>
            </w:pPr>
            <w:hyperlink r:id="rId70">
              <w:r>
                <w:rPr>
                  <w:color w:val="0563C1"/>
                  <w:u w:val="single"/>
                </w:rPr>
                <w:t>Detecting Punches</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204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bag, cross, jab, no-punch</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Extremely small; no provenance</w:t>
            </w:r>
          </w:p>
        </w:tc>
      </w:tr>
      <w:tr>
        <w:trPr>
          <w:cantSplit w:val="true"/>
        </w:trPr>
        <w:tc>
          <w:tcPr>
            <w:tcW w:type="dxa" w:w="1800"/>
            <w:tcMar>
              <w:top w:w="80" w:type="dxa"/>
              <w:start w:w="120" w:type="dxa"/>
              <w:bottom w:w="80" w:type="dxa"/>
              <w:end w:w="120" w:type="dxa"/>
            </w:tcMar>
            <w:vAlign w:val="top"/>
          </w:tcPr>
          <w:p>
            <w:pPr>
              <w:spacing w:after="0"/>
            </w:pPr>
            <w:hyperlink r:id="rId71">
              <w:r>
                <w:rPr>
                  <w:color w:val="0563C1"/>
                  <w:u w:val="single"/>
                </w:rPr>
                <w:t>Boxing-2</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268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block, punch</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No label-boundary guidance</w:t>
            </w:r>
          </w:p>
        </w:tc>
      </w:tr>
      <w:tr>
        <w:trPr>
          <w:cantSplit w:val="true"/>
        </w:trPr>
        <w:tc>
          <w:tcPr>
            <w:tcW w:type="dxa" w:w="1800"/>
            <w:tcMar>
              <w:top w:w="80" w:type="dxa"/>
              <w:start w:w="120" w:type="dxa"/>
              <w:bottom w:w="80" w:type="dxa"/>
              <w:end w:w="120" w:type="dxa"/>
            </w:tcMar>
            <w:vAlign w:val="top"/>
          </w:tcPr>
          <w:p>
            <w:pPr>
              <w:spacing w:after="0"/>
            </w:pPr>
            <w:hyperlink r:id="rId72">
              <w:r>
                <w:rPr>
                  <w:color w:val="0563C1"/>
                  <w:u w:val="single"/>
                </w:rPr>
                <w:t>techling boxing</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1,134 source / 3,180 generated</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blue boxer, red boxer</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Only 2 test images; augmentation dominates</w:t>
            </w:r>
          </w:p>
        </w:tc>
      </w:tr>
      <w:tr>
        <w:trPr>
          <w:cantSplit w:val="true"/>
        </w:trPr>
        <w:tc>
          <w:tcPr>
            <w:tcW w:type="dxa" w:w="1800"/>
            <w:tcMar>
              <w:top w:w="80" w:type="dxa"/>
              <w:start w:w="120" w:type="dxa"/>
              <w:bottom w:w="80" w:type="dxa"/>
              <w:end w:w="120" w:type="dxa"/>
            </w:tcMar>
            <w:vAlign w:val="top"/>
          </w:tcPr>
          <w:p>
            <w:pPr>
              <w:spacing w:after="0"/>
            </w:pPr>
            <w:hyperlink r:id="rId73">
              <w:r>
                <w:rPr>
                  <w:color w:val="0563C1"/>
                  <w:u w:val="single"/>
                </w:rPr>
                <w:t>Boxer Labelling</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1,073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blue boxer, red boxer</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Likely overlap with techling; hash-deduplicate</w:t>
            </w:r>
          </w:p>
        </w:tc>
      </w:tr>
      <w:tr>
        <w:trPr>
          <w:cantSplit w:val="true"/>
        </w:trPr>
        <w:tc>
          <w:tcPr>
            <w:tcW w:type="dxa" w:w="1800"/>
            <w:tcMar>
              <w:top w:w="80" w:type="dxa"/>
              <w:start w:w="120" w:type="dxa"/>
              <w:bottom w:w="80" w:type="dxa"/>
              <w:end w:w="120" w:type="dxa"/>
            </w:tcMar>
            <w:vAlign w:val="top"/>
          </w:tcPr>
          <w:p>
            <w:pPr>
              <w:spacing w:after="0"/>
            </w:pPr>
            <w:hyperlink r:id="rId74">
              <w:r>
                <w:rPr>
                  <w:color w:val="0563C1"/>
                  <w:u w:val="single"/>
                </w:rPr>
                <w:t>SPAR.ai labels</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3,395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boxer, referee</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Claims Public Domain</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Combat-sport scope and provenance unclear</w:t>
            </w:r>
          </w:p>
        </w:tc>
      </w:tr>
      <w:tr>
        <w:trPr>
          <w:cantSplit w:val="true"/>
        </w:trPr>
        <w:tc>
          <w:tcPr>
            <w:tcW w:type="dxa" w:w="1800"/>
            <w:tcMar>
              <w:top w:w="80" w:type="dxa"/>
              <w:start w:w="120" w:type="dxa"/>
              <w:bottom w:w="80" w:type="dxa"/>
              <w:end w:w="120" w:type="dxa"/>
            </w:tcMar>
            <w:vAlign w:val="top"/>
          </w:tcPr>
          <w:p>
            <w:pPr>
              <w:spacing w:after="0"/>
            </w:pPr>
            <w:hyperlink r:id="rId75">
              <w:r>
                <w:rPr>
                  <w:color w:val="0563C1"/>
                  <w:u w:val="single"/>
                </w:rPr>
                <w:t>Boxing Player Detection</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300 source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referee, blue-player, red-player</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May include game/synthetic imagery</w:t>
            </w:r>
          </w:p>
        </w:tc>
      </w:tr>
      <w:tr>
        <w:trPr>
          <w:cantSplit w:val="true"/>
        </w:trPr>
        <w:tc>
          <w:tcPr>
            <w:tcW w:type="dxa" w:w="1800"/>
            <w:tcMar>
              <w:top w:w="80" w:type="dxa"/>
              <w:start w:w="120" w:type="dxa"/>
              <w:bottom w:w="80" w:type="dxa"/>
              <w:end w:w="120" w:type="dxa"/>
            </w:tcMar>
            <w:vAlign w:val="top"/>
          </w:tcPr>
          <w:p>
            <w:pPr>
              <w:spacing w:after="0"/>
            </w:pPr>
            <w:hyperlink r:id="rId76">
              <w:r>
                <w:rPr>
                  <w:color w:val="0563C1"/>
                  <w:u w:val="single"/>
                </w:rPr>
                <w:t>Project Boxing</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110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face, body, referee, boxer, gloves</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Tiny; known 110-image clone lineage</w:t>
            </w:r>
          </w:p>
        </w:tc>
      </w:tr>
      <w:tr>
        <w:trPr>
          <w:cantSplit w:val="true"/>
        </w:trPr>
        <w:tc>
          <w:tcPr>
            <w:tcW w:type="dxa" w:w="1800"/>
            <w:tcMar>
              <w:top w:w="80" w:type="dxa"/>
              <w:start w:w="120" w:type="dxa"/>
              <w:bottom w:w="80" w:type="dxa"/>
              <w:end w:w="120" w:type="dxa"/>
            </w:tcMar>
            <w:vAlign w:val="top"/>
          </w:tcPr>
          <w:p>
            <w:pPr>
              <w:spacing w:after="0"/>
            </w:pPr>
            <w:hyperlink r:id="rId77">
              <w:r>
                <w:rPr>
                  <w:color w:val="0563C1"/>
                  <w:u w:val="single"/>
                </w:rPr>
                <w:t>Boxing Gloves N2</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989 source / 2,365 generated</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glove instance masks; duplicated class casing</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Merge labels; unrealistic augmentation</w:t>
            </w:r>
          </w:p>
        </w:tc>
      </w:tr>
      <w:tr>
        <w:trPr>
          <w:cantSplit w:val="true"/>
        </w:trPr>
        <w:tc>
          <w:tcPr>
            <w:tcW w:type="dxa" w:w="1800"/>
            <w:tcMar>
              <w:top w:w="80" w:type="dxa"/>
              <w:start w:w="120" w:type="dxa"/>
              <w:bottom w:w="80" w:type="dxa"/>
              <w:end w:w="120" w:type="dxa"/>
            </w:tcMar>
            <w:vAlign w:val="top"/>
          </w:tcPr>
          <w:p>
            <w:pPr>
              <w:spacing w:after="0"/>
            </w:pPr>
            <w:hyperlink r:id="rId78">
              <w:r>
                <w:rPr>
                  <w:color w:val="0563C1"/>
                  <w:u w:val="single"/>
                </w:rPr>
                <w:t>Punch Detection</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453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contact, fighter, gloves, landed/thrown, etc.</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Useful semantics; definitions absent</w:t>
            </w:r>
          </w:p>
        </w:tc>
      </w:tr>
      <w:tr>
        <w:trPr>
          <w:cantSplit w:val="true"/>
        </w:trPr>
        <w:tc>
          <w:tcPr>
            <w:tcW w:type="dxa" w:w="1800"/>
            <w:tcMar>
              <w:top w:w="80" w:type="dxa"/>
              <w:start w:w="120" w:type="dxa"/>
              <w:bottom w:w="80" w:type="dxa"/>
              <w:end w:w="120" w:type="dxa"/>
            </w:tcMar>
            <w:vAlign w:val="top"/>
          </w:tcPr>
          <w:p>
            <w:pPr>
              <w:spacing w:after="0"/>
            </w:pPr>
            <w:hyperlink r:id="rId79">
              <w:r>
                <w:rPr>
                  <w:color w:val="0563C1"/>
                  <w:u w:val="single"/>
                </w:rPr>
                <w:t>Boxing Project 1</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210 source; v1 has 59 generated</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boxer keypoints</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No landmark schema; 2-image test in v1</w:t>
            </w:r>
          </w:p>
        </w:tc>
      </w:tr>
      <w:tr>
        <w:trPr>
          <w:cantSplit w:val="true"/>
        </w:trPr>
        <w:tc>
          <w:tcPr>
            <w:tcW w:type="dxa" w:w="1800"/>
            <w:tcMar>
              <w:top w:w="80" w:type="dxa"/>
              <w:start w:w="120" w:type="dxa"/>
              <w:bottom w:w="80" w:type="dxa"/>
              <w:end w:w="120" w:type="dxa"/>
            </w:tcMar>
            <w:vAlign w:val="top"/>
          </w:tcPr>
          <w:p>
            <w:pPr>
              <w:spacing w:after="0"/>
            </w:pPr>
            <w:hyperlink r:id="rId80">
              <w:r>
                <w:rPr>
                  <w:color w:val="0563C1"/>
                  <w:u w:val="single"/>
                </w:rPr>
                <w:t>Kick and punch detection</w:t>
              </w:r>
            </w:hyperlink>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2,047 source images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4"/>
              </w:rPr>
              <w:t>stand, grappling, kick, punch</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2304"/>
            <w:tcMar>
              <w:top w:w="80" w:type="dxa"/>
              <w:start w:w="120" w:type="dxa"/>
              <w:bottom w:w="80" w:type="dxa"/>
              <w:end w:w="120" w:type="dxa"/>
            </w:tcMar>
            <w:vAlign w:val="top"/>
          </w:tcPr>
          <w:p>
            <w:pPr>
              <w:spacing w:after="0"/>
            </w:pPr>
            <w:r>
              <w:rPr>
                <w:rFonts w:ascii="Calibri" w:hAnsi="Calibri" w:eastAsia="Calibri"/>
                <w:color w:val="1F2933"/>
                <w:sz w:val="14"/>
              </w:rPr>
              <w:t>MMA; Google/YouTube screenshots; many forks</w:t>
            </w:r>
          </w:p>
        </w:tc>
      </w:tr>
    </w:tbl>
    <w:p>
      <w:pPr>
        <w:spacing w:after="0"/>
      </w:pPr>
    </w:p>
    <w:p>
      <w:pPr>
        <w:pStyle w:val="Heading2"/>
      </w:pPr>
      <w:r>
        <w:t>Kaggle and static-image / tabular community releases</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872"/>
        <w:gridCol w:w="1872"/>
        <w:gridCol w:w="1872"/>
        <w:gridCol w:w="1872"/>
        <w:gridCol w:w="1872"/>
      </w:tblGrid>
      <w:tr>
        <w:trPr>
          <w:tblHeader w:val="true"/>
        </w:trPr>
        <w:tc>
          <w:tcPr>
            <w:tcW w:type="dxa" w:w="2088"/>
            <w:shd w:fill="E8EEF5"/>
            <w:tcMar>
              <w:top w:w="80" w:type="dxa"/>
              <w:start w:w="120" w:type="dxa"/>
              <w:bottom w:w="80" w:type="dxa"/>
              <w:end w:w="120" w:type="dxa"/>
            </w:tcMar>
            <w:vAlign w:val="center"/>
          </w:tcPr>
          <w:p>
            <w:pPr>
              <w:spacing w:after="0"/>
            </w:pPr>
            <w:r>
              <w:rPr>
                <w:rFonts w:ascii="Calibri" w:hAnsi="Calibri" w:eastAsia="Calibri"/>
                <w:b/>
                <w:color w:val="17365D"/>
                <w:sz w:val="17"/>
              </w:rPr>
              <w:t>Dataset</w:t>
            </w:r>
          </w:p>
        </w:tc>
        <w:tc>
          <w:tcPr>
            <w:tcW w:type="dxa" w:w="1656"/>
            <w:shd w:fill="E8EEF5"/>
            <w:tcMar>
              <w:top w:w="80" w:type="dxa"/>
              <w:start w:w="120" w:type="dxa"/>
              <w:bottom w:w="80" w:type="dxa"/>
              <w:end w:w="120" w:type="dxa"/>
            </w:tcMar>
            <w:vAlign w:val="center"/>
          </w:tcPr>
          <w:p>
            <w:pPr>
              <w:spacing w:after="0"/>
            </w:pPr>
            <w:r>
              <w:rPr>
                <w:rFonts w:ascii="Calibri" w:hAnsi="Calibri" w:eastAsia="Calibri"/>
                <w:b/>
                <w:color w:val="17365D"/>
                <w:sz w:val="17"/>
              </w:rPr>
              <w:t>Scale</w:t>
            </w:r>
          </w:p>
        </w:tc>
        <w:tc>
          <w:tcPr>
            <w:tcW w:type="dxa" w:w="1872"/>
            <w:shd w:fill="E8EEF5"/>
            <w:tcMar>
              <w:top w:w="80" w:type="dxa"/>
              <w:start w:w="120" w:type="dxa"/>
              <w:bottom w:w="80" w:type="dxa"/>
              <w:end w:w="120" w:type="dxa"/>
            </w:tcMar>
            <w:vAlign w:val="center"/>
          </w:tcPr>
          <w:p>
            <w:pPr>
              <w:spacing w:after="0"/>
            </w:pPr>
            <w:r>
              <w:rPr>
                <w:rFonts w:ascii="Calibri" w:hAnsi="Calibri" w:eastAsia="Calibri"/>
                <w:b/>
                <w:color w:val="17365D"/>
                <w:sz w:val="17"/>
              </w:rPr>
              <w:t>Task</w:t>
            </w:r>
          </w:p>
        </w:tc>
        <w:tc>
          <w:tcPr>
            <w:tcW w:type="dxa" w:w="1512"/>
            <w:shd w:fill="E8EEF5"/>
            <w:tcMar>
              <w:top w:w="80" w:type="dxa"/>
              <w:start w:w="120" w:type="dxa"/>
              <w:bottom w:w="80" w:type="dxa"/>
              <w:end w:w="120" w:type="dxa"/>
            </w:tcMar>
            <w:vAlign w:val="center"/>
          </w:tcPr>
          <w:p>
            <w:pPr>
              <w:spacing w:after="0"/>
            </w:pPr>
            <w:r>
              <w:rPr>
                <w:rFonts w:ascii="Calibri" w:hAnsi="Calibri" w:eastAsia="Calibri"/>
                <w:b/>
                <w:color w:val="17365D"/>
                <w:sz w:val="17"/>
              </w:rPr>
              <w:t>Displayed license</w:t>
            </w:r>
          </w:p>
        </w:tc>
        <w:tc>
          <w:tcPr>
            <w:tcW w:type="dxa" w:w="2232"/>
            <w:shd w:fill="E8EEF5"/>
            <w:tcMar>
              <w:top w:w="80" w:type="dxa"/>
              <w:start w:w="120" w:type="dxa"/>
              <w:bottom w:w="80" w:type="dxa"/>
              <w:end w:w="120" w:type="dxa"/>
            </w:tcMar>
            <w:vAlign w:val="center"/>
          </w:tcPr>
          <w:p>
            <w:pPr>
              <w:spacing w:after="0"/>
            </w:pPr>
            <w:r>
              <w:rPr>
                <w:rFonts w:ascii="Calibri" w:hAnsi="Calibri" w:eastAsia="Calibri"/>
                <w:b/>
                <w:color w:val="17365D"/>
                <w:sz w:val="17"/>
              </w:rPr>
              <w:t>Critical issue</w:t>
            </w:r>
          </w:p>
        </w:tc>
      </w:tr>
      <w:tr>
        <w:trPr>
          <w:cantSplit w:val="true"/>
        </w:trPr>
        <w:tc>
          <w:tcPr>
            <w:tcW w:type="dxa" w:w="2088"/>
            <w:tcMar>
              <w:top w:w="80" w:type="dxa"/>
              <w:start w:w="120" w:type="dxa"/>
              <w:bottom w:w="80" w:type="dxa"/>
              <w:end w:w="120" w:type="dxa"/>
            </w:tcMar>
            <w:vAlign w:val="top"/>
          </w:tcPr>
          <w:p>
            <w:pPr>
              <w:spacing w:after="0"/>
            </w:pPr>
            <w:hyperlink r:id="rId81">
              <w:r>
                <w:rPr>
                  <w:color w:val="0563C1"/>
                  <w:u w:val="single"/>
                </w:rPr>
                <w:t>Boxing Matches — mexwell</w:t>
              </w:r>
            </w:hyperlink>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&gt;300K bouts; 26 columns</w:t>
            </w:r>
          </w:p>
        </w:tc>
        <w:tc>
          <w:tcPr>
            <w:tcW w:type="dxa" w:w="1872"/>
            <w:tcMar>
              <w:top w:w="80" w:type="dxa"/>
              <w:start w:w="120" w:type="dxa"/>
              <w:bottom w:w="80" w:type="dxa"/>
              <w:end w:w="120" w:type="dxa"/>
            </w:tcMar>
            <w:vAlign w:val="top"/>
          </w:tcPr>
          <w:p>
            <w:pPr>
              <w:spacing w:after="0"/>
            </w:pPr>
            <w:r>
              <w:rPr>
                <w:rFonts w:ascii="Calibri" w:hAnsi="Calibri" w:eastAsia="Calibri"/>
                <w:color w:val="1F2933"/>
                <w:sz w:val="15"/>
              </w:rPr>
              <w:t>Winner/record analysis</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Unknown</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5"/>
              </w:rPr>
              <w:t>Likely scraped; provenance and temporal leakage risk</w:t>
            </w:r>
          </w:p>
        </w:tc>
      </w:tr>
      <w:tr>
        <w:trPr>
          <w:cantSplit w:val="true"/>
        </w:trPr>
        <w:tc>
          <w:tcPr>
            <w:tcW w:type="dxa" w:w="2088"/>
            <w:tcMar>
              <w:top w:w="80" w:type="dxa"/>
              <w:start w:w="120" w:type="dxa"/>
              <w:bottom w:w="80" w:type="dxa"/>
              <w:end w:w="120" w:type="dxa"/>
            </w:tcMar>
            <w:vAlign w:val="top"/>
          </w:tcPr>
          <w:p>
            <w:pPr>
              <w:spacing w:after="0"/>
            </w:pPr>
            <w:hyperlink r:id="rId82">
              <w:r>
                <w:rPr>
                  <w:color w:val="0563C1"/>
                  <w:u w:val="single"/>
                </w:rPr>
                <w:t>Predict the Winner — Iyad Elwy</w:t>
              </w:r>
            </w:hyperlink>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Two tabular files; count not public</w:t>
            </w:r>
          </w:p>
        </w:tc>
        <w:tc>
          <w:tcPr>
            <w:tcW w:type="dxa" w:w="1872"/>
            <w:tcMar>
              <w:top w:w="80" w:type="dxa"/>
              <w:start w:w="120" w:type="dxa"/>
              <w:bottom w:w="80" w:type="dxa"/>
              <w:end w:w="120" w:type="dxa"/>
            </w:tcMar>
            <w:vAlign w:val="top"/>
          </w:tcPr>
          <w:p>
            <w:pPr>
              <w:spacing w:after="0"/>
            </w:pPr>
            <w:r>
              <w:rPr>
                <w:rFonts w:ascii="Calibri" w:hAnsi="Calibri" w:eastAsia="Calibri"/>
                <w:color w:val="1F2933"/>
                <w:sz w:val="15"/>
              </w:rPr>
              <w:t>Bout winner prediction</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CC0</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5"/>
              </w:rPr>
              <w:t>Sparse provenance; guard against post-bout features</w:t>
            </w:r>
          </w:p>
        </w:tc>
      </w:tr>
      <w:tr>
        <w:trPr>
          <w:cantSplit w:val="true"/>
        </w:trPr>
        <w:tc>
          <w:tcPr>
            <w:tcW w:type="dxa" w:w="2088"/>
            <w:tcMar>
              <w:top w:w="80" w:type="dxa"/>
              <w:start w:w="120" w:type="dxa"/>
              <w:bottom w:w="80" w:type="dxa"/>
              <w:end w:w="120" w:type="dxa"/>
            </w:tcMar>
            <w:vAlign w:val="top"/>
          </w:tcPr>
          <w:p>
            <w:pPr>
              <w:spacing w:after="0"/>
            </w:pPr>
            <w:hyperlink r:id="rId83">
              <w:r>
                <w:rPr>
                  <w:color w:val="0563C1"/>
                  <w:u w:val="single"/>
                </w:rPr>
                <w:t>Professional Boxers with Records</w:t>
              </w:r>
            </w:hyperlink>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328 fighters + profile images</w:t>
            </w:r>
          </w:p>
        </w:tc>
        <w:tc>
          <w:tcPr>
            <w:tcW w:type="dxa" w:w="1872"/>
            <w:tcMar>
              <w:top w:w="80" w:type="dxa"/>
              <w:start w:w="120" w:type="dxa"/>
              <w:bottom w:w="80" w:type="dxa"/>
              <w:end w:w="120" w:type="dxa"/>
            </w:tcMar>
            <w:vAlign w:val="top"/>
          </w:tcPr>
          <w:p>
            <w:pPr>
              <w:spacing w:after="0"/>
            </w:pPr>
            <w:r>
              <w:rPr>
                <w:rFonts w:ascii="Calibri" w:hAnsi="Calibri" w:eastAsia="Calibri"/>
                <w:color w:val="1F2933"/>
                <w:sz w:val="15"/>
              </w:rPr>
              <w:t>Athlete clustering/profile models</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MIT label</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5"/>
              </w:rPr>
              <w:t>MIT may not cover third-party images</w:t>
            </w:r>
          </w:p>
        </w:tc>
      </w:tr>
      <w:tr>
        <w:trPr>
          <w:cantSplit w:val="true"/>
        </w:trPr>
        <w:tc>
          <w:tcPr>
            <w:tcW w:type="dxa" w:w="2088"/>
            <w:tcMar>
              <w:top w:w="80" w:type="dxa"/>
              <w:start w:w="120" w:type="dxa"/>
              <w:bottom w:w="80" w:type="dxa"/>
              <w:end w:w="120" w:type="dxa"/>
            </w:tcMar>
            <w:vAlign w:val="top"/>
          </w:tcPr>
          <w:p>
            <w:pPr>
              <w:spacing w:after="0"/>
            </w:pPr>
            <w:hyperlink r:id="rId84">
              <w:r>
                <w:rPr>
                  <w:color w:val="0563C1"/>
                  <w:u w:val="single"/>
                </w:rPr>
                <w:t>Sports Training Monitoring</w:t>
              </w:r>
            </w:hyperlink>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Aggregated 2-second sensor features</w:t>
            </w:r>
          </w:p>
        </w:tc>
        <w:tc>
          <w:tcPr>
            <w:tcW w:type="dxa" w:w="1872"/>
            <w:tcMar>
              <w:top w:w="80" w:type="dxa"/>
              <w:start w:w="120" w:type="dxa"/>
              <w:bottom w:w="80" w:type="dxa"/>
              <w:end w:w="120" w:type="dxa"/>
            </w:tcMar>
            <w:vAlign w:val="top"/>
          </w:tcPr>
          <w:p>
            <w:pPr>
              <w:spacing w:after="0"/>
            </w:pPr>
            <w:r>
              <w:rPr>
                <w:rFonts w:ascii="Calibri" w:hAnsi="Calibri" w:eastAsia="Calibri"/>
                <w:color w:val="1F2933"/>
                <w:sz w:val="15"/>
              </w:rPr>
              <w:t>jab/cross/hook/uppercut/idle</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CC0</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5"/>
              </w:rPr>
              <w:t>Athlete/device/protocol and raw streams unspecified</w:t>
            </w:r>
          </w:p>
        </w:tc>
      </w:tr>
      <w:tr>
        <w:trPr>
          <w:cantSplit w:val="true"/>
        </w:trPr>
        <w:tc>
          <w:tcPr>
            <w:tcW w:type="dxa" w:w="2088"/>
            <w:tcMar>
              <w:top w:w="80" w:type="dxa"/>
              <w:start w:w="120" w:type="dxa"/>
              <w:bottom w:w="80" w:type="dxa"/>
              <w:end w:w="120" w:type="dxa"/>
            </w:tcMar>
            <w:vAlign w:val="top"/>
          </w:tcPr>
          <w:p>
            <w:pPr>
              <w:spacing w:after="0"/>
            </w:pPr>
            <w:hyperlink r:id="rId85">
              <w:r>
                <w:rPr>
                  <w:color w:val="0563C1"/>
                  <w:u w:val="single"/>
                </w:rPr>
                <w:t>Boxing Twitter</w:t>
              </w:r>
            </w:hyperlink>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~1.99M tweets</w:t>
            </w:r>
          </w:p>
        </w:tc>
        <w:tc>
          <w:tcPr>
            <w:tcW w:type="dxa" w:w="1872"/>
            <w:tcMar>
              <w:top w:w="80" w:type="dxa"/>
              <w:start w:w="120" w:type="dxa"/>
              <w:bottom w:w="80" w:type="dxa"/>
              <w:end w:w="120" w:type="dxa"/>
            </w:tcMar>
            <w:vAlign w:val="top"/>
          </w:tcPr>
          <w:p>
            <w:pPr>
              <w:spacing w:after="0"/>
            </w:pPr>
            <w:r>
              <w:rPr>
                <w:rFonts w:ascii="Calibri" w:hAnsi="Calibri" w:eastAsia="Calibri"/>
                <w:color w:val="1F2933"/>
                <w:sz w:val="15"/>
              </w:rPr>
              <w:t>NLP/sentiment/event response</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CC BY-NC-SA 4.0 label</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5"/>
              </w:rPr>
              <w:t>Platform terms, deletions and privacy still apply</w:t>
            </w:r>
          </w:p>
        </w:tc>
      </w:tr>
      <w:tr>
        <w:trPr>
          <w:cantSplit w:val="true"/>
        </w:trPr>
        <w:tc>
          <w:tcPr>
            <w:tcW w:type="dxa" w:w="2088"/>
            <w:tcMar>
              <w:top w:w="80" w:type="dxa"/>
              <w:start w:w="120" w:type="dxa"/>
              <w:bottom w:w="80" w:type="dxa"/>
              <w:end w:w="120" w:type="dxa"/>
            </w:tcMar>
            <w:vAlign w:val="top"/>
          </w:tcPr>
          <w:p>
            <w:pPr>
              <w:spacing w:after="0"/>
            </w:pPr>
            <w:hyperlink r:id="rId86">
              <w:r>
                <w:rPr>
                  <w:color w:val="0563C1"/>
                  <w:u w:val="single"/>
                </w:rPr>
                <w:t>Boxer Data</w:t>
              </w:r>
            </w:hyperlink>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Unspecified Selenium scrape</w:t>
            </w:r>
          </w:p>
        </w:tc>
        <w:tc>
          <w:tcPr>
            <w:tcW w:type="dxa" w:w="1872"/>
            <w:tcMar>
              <w:top w:w="80" w:type="dxa"/>
              <w:start w:w="120" w:type="dxa"/>
              <w:bottom w:w="80" w:type="dxa"/>
              <w:end w:w="120" w:type="dxa"/>
            </w:tcMar>
            <w:vAlign w:val="top"/>
          </w:tcPr>
          <w:p>
            <w:pPr>
              <w:spacing w:after="0"/>
            </w:pPr>
            <w:r>
              <w:rPr>
                <w:rFonts w:ascii="Calibri" w:hAnsi="Calibri" w:eastAsia="Calibri"/>
                <w:color w:val="1F2933"/>
                <w:sz w:val="15"/>
              </w:rPr>
              <w:t>Exploratory fighter records</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Original authors</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5"/>
              </w:rPr>
              <w:t>No schema, source or redistribution authorization</w:t>
            </w:r>
          </w:p>
        </w:tc>
      </w:tr>
      <w:tr>
        <w:trPr>
          <w:cantSplit w:val="true"/>
        </w:trPr>
        <w:tc>
          <w:tcPr>
            <w:tcW w:type="dxa" w:w="2088"/>
            <w:tcMar>
              <w:top w:w="80" w:type="dxa"/>
              <w:start w:w="120" w:type="dxa"/>
              <w:bottom w:w="80" w:type="dxa"/>
              <w:end w:w="120" w:type="dxa"/>
            </w:tcMar>
            <w:vAlign w:val="top"/>
          </w:tcPr>
          <w:p>
            <w:pPr>
              <w:spacing w:after="0"/>
            </w:pPr>
            <w:hyperlink r:id="rId87">
              <w:r>
                <w:rPr>
                  <w:color w:val="0563C1"/>
                  <w:u w:val="single"/>
                </w:rPr>
                <w:t>100 Sports Image Classification</w:t>
              </w:r>
            </w:hyperlink>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14,493 images / 100 classes</w:t>
            </w:r>
          </w:p>
        </w:tc>
        <w:tc>
          <w:tcPr>
            <w:tcW w:type="dxa" w:w="1872"/>
            <w:tcMar>
              <w:top w:w="80" w:type="dxa"/>
              <w:start w:w="120" w:type="dxa"/>
              <w:bottom w:w="80" w:type="dxa"/>
              <w:end w:w="120" w:type="dxa"/>
            </w:tcMar>
            <w:vAlign w:val="top"/>
          </w:tcPr>
          <w:p>
            <w:pPr>
              <w:spacing w:after="0"/>
            </w:pPr>
            <w:r>
              <w:rPr>
                <w:rFonts w:ascii="Calibri" w:hAnsi="Calibri" w:eastAsia="Calibri"/>
                <w:color w:val="1F2933"/>
                <w:sz w:val="15"/>
              </w:rPr>
              <w:t>Static boxing-scene classification</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CC0 label</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5"/>
              </w:rPr>
              <w:t>Audit original web-image rights</w:t>
            </w:r>
          </w:p>
        </w:tc>
      </w:tr>
      <w:tr>
        <w:trPr>
          <w:cantSplit w:val="true"/>
        </w:trPr>
        <w:tc>
          <w:tcPr>
            <w:tcW w:type="dxa" w:w="2088"/>
            <w:tcMar>
              <w:top w:w="80" w:type="dxa"/>
              <w:start w:w="120" w:type="dxa"/>
              <w:bottom w:w="80" w:type="dxa"/>
              <w:end w:w="120" w:type="dxa"/>
            </w:tcMar>
            <w:vAlign w:val="top"/>
          </w:tcPr>
          <w:p>
            <w:pPr>
              <w:spacing w:after="0"/>
            </w:pPr>
            <w:hyperlink r:id="rId88">
              <w:r>
                <w:rPr>
                  <w:color w:val="0563C1"/>
                  <w:u w:val="single"/>
                </w:rPr>
                <w:t>Sports Image — 22 classes</w:t>
              </w:r>
            </w:hyperlink>
          </w:p>
        </w:tc>
        <w:tc>
          <w:tcPr>
            <w:tcW w:type="dxa" w:w="1656"/>
            <w:tcMar>
              <w:top w:w="80" w:type="dxa"/>
              <w:start w:w="120" w:type="dxa"/>
              <w:bottom w:w="80" w:type="dxa"/>
              <w:end w:w="120" w:type="dxa"/>
            </w:tcMar>
            <w:vAlign w:val="top"/>
          </w:tcPr>
          <w:p>
            <w:pPr>
              <w:spacing w:after="0"/>
            </w:pPr>
            <w:r>
              <w:rPr>
                <w:rFonts w:ascii="Calibri" w:hAnsi="Calibri" w:eastAsia="Calibri"/>
                <w:color w:val="1F2933"/>
                <w:sz w:val="15"/>
              </w:rPr>
              <w:t>Count not public</w:t>
            </w:r>
          </w:p>
        </w:tc>
        <w:tc>
          <w:tcPr>
            <w:tcW w:type="dxa" w:w="1872"/>
            <w:tcMar>
              <w:top w:w="80" w:type="dxa"/>
              <w:start w:w="120" w:type="dxa"/>
              <w:bottom w:w="80" w:type="dxa"/>
              <w:end w:w="120" w:type="dxa"/>
            </w:tcMar>
            <w:vAlign w:val="top"/>
          </w:tcPr>
          <w:p>
            <w:pPr>
              <w:spacing w:after="0"/>
            </w:pPr>
            <w:r>
              <w:rPr>
                <w:rFonts w:ascii="Calibri" w:hAnsi="Calibri" w:eastAsia="Calibri"/>
                <w:color w:val="1F2933"/>
                <w:sz w:val="15"/>
              </w:rPr>
              <w:t>Static sports classification</w:t>
            </w:r>
          </w:p>
        </w:tc>
        <w:tc>
          <w:tcPr>
            <w:tcW w:type="dxa" w:w="1512"/>
            <w:tcMar>
              <w:top w:w="80" w:type="dxa"/>
              <w:start w:w="120" w:type="dxa"/>
              <w:bottom w:w="80" w:type="dxa"/>
              <w:end w:w="120" w:type="dxa"/>
            </w:tcMar>
            <w:vAlign w:val="top"/>
          </w:tcPr>
          <w:p>
            <w:pPr>
              <w:spacing w:after="0"/>
            </w:pPr>
            <w:r>
              <w:rPr>
                <w:rFonts w:ascii="Calibri" w:hAnsi="Calibri" w:eastAsia="Calibri"/>
                <w:color w:val="1F2933"/>
                <w:sz w:val="15"/>
              </w:rPr>
              <w:t>CC0 label</w:t>
            </w:r>
          </w:p>
        </w:tc>
        <w:tc>
          <w:tcPr>
            <w:tcW w:type="dxa" w:w="2232"/>
            <w:tcMar>
              <w:top w:w="80" w:type="dxa"/>
              <w:start w:w="120" w:type="dxa"/>
              <w:bottom w:w="80" w:type="dxa"/>
              <w:end w:w="120" w:type="dxa"/>
            </w:tcMar>
            <w:vAlign w:val="top"/>
          </w:tcPr>
          <w:p>
            <w:pPr>
              <w:spacing w:after="0"/>
            </w:pPr>
            <w:r>
              <w:rPr>
                <w:rFonts w:ascii="Calibri" w:hAnsi="Calibri" w:eastAsia="Calibri"/>
                <w:color w:val="1F2933"/>
                <w:sz w:val="15"/>
              </w:rPr>
              <w:t>Original image sources unclear</w:t>
            </w:r>
          </w:p>
        </w:tc>
      </w:tr>
    </w:tbl>
    <w:p>
      <w:pPr>
        <w:spacing w:after="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DECEC"/>
            <w:tcMar>
              <w:top w:w="130" w:type="dxa"/>
              <w:start w:w="170" w:type="dxa"/>
              <w:bottom w:w="130" w:type="dxa"/>
              <w:end w:w="170" w:type="dxa"/>
            </w:tcMar>
          </w:tcPr>
          <w:p>
            <w:pPr>
              <w:spacing w:after="40"/>
            </w:pPr>
            <w:r>
              <w:rPr>
                <w:rFonts w:ascii="Calibri" w:hAnsi="Calibri" w:eastAsia="Calibri"/>
                <w:b/>
                <w:color w:val="A33A3A"/>
                <w:sz w:val="21"/>
              </w:rPr>
              <w:t>Community-data acceptance test</w:t>
            </w:r>
          </w:p>
          <w:p>
            <w:pPr>
              <w:spacing w:after="0"/>
            </w:pPr>
            <w:r>
              <w:rPr>
                <w:rFonts w:ascii="Calibri" w:hAnsi="Calibri" w:eastAsia="Calibri"/>
                <w:color w:val="1F2933"/>
                <w:sz w:val="19"/>
              </w:rPr>
              <w:t>Before ingesting: open the actual archive; inspect labels and split manifests; hash-deduplicate originals and augmentations; identify the source of every image/video; reconcile any upstream license; and run a small manual annotation audit. A platform badge alone is not sufficient provenance.</w:t>
            </w:r>
          </w:p>
        </w:tc>
      </w:tr>
    </w:tbl>
    <w:p>
      <w:pPr>
        <w:spacing w:after="0"/>
      </w:pPr>
    </w:p>
    <w:p>
      <w:pPr>
        <w:pStyle w:val="Heading1"/>
      </w:pPr>
      <w:r>
        <w:t>5. Bouts, fighters, scoring, business and health data</w:t>
      </w:r>
    </w:p>
    <w:p>
      <w:r>
        <w:rPr>
          <w:rFonts w:ascii="Calibri" w:hAnsi="Calibri" w:eastAsia="Calibri"/>
          <w:color w:val="52606D"/>
        </w:rPr>
        <w:t>These resources support outcome models, ranking graphs, purse economics, clinical surveillance and schema design. They do not replace punch-level supervision and must be time-split to avoid using future records to predict past bouts.</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1872"/>
        <w:gridCol w:w="1872"/>
        <w:gridCol w:w="1872"/>
        <w:gridCol w:w="1872"/>
        <w:gridCol w:w="1872"/>
      </w:tblGrid>
      <w:tr>
        <w:trPr>
          <w:tblHeader w:val="true"/>
        </w:trPr>
        <w:tc>
          <w:tcPr>
            <w:tcW w:type="dxa" w:w="1872"/>
            <w:shd w:fill="E8EEF5"/>
            <w:tcMar>
              <w:top w:w="80" w:type="dxa"/>
              <w:start w:w="120" w:type="dxa"/>
              <w:bottom w:w="80" w:type="dxa"/>
              <w:end w:w="120" w:type="dxa"/>
            </w:tcMar>
            <w:vAlign w:val="center"/>
          </w:tcPr>
          <w:p>
            <w:pPr>
              <w:spacing w:after="0"/>
            </w:pPr>
            <w:r>
              <w:rPr>
                <w:rFonts w:ascii="Calibri" w:hAnsi="Calibri" w:eastAsia="Calibri"/>
                <w:b/>
                <w:color w:val="17365D"/>
                <w:sz w:val="17"/>
              </w:rPr>
              <w:t>Source</w:t>
            </w:r>
          </w:p>
        </w:tc>
        <w:tc>
          <w:tcPr>
            <w:tcW w:type="dxa" w:w="1728"/>
            <w:shd w:fill="E8EEF5"/>
            <w:tcMar>
              <w:top w:w="80" w:type="dxa"/>
              <w:start w:w="120" w:type="dxa"/>
              <w:bottom w:w="80" w:type="dxa"/>
              <w:end w:w="120" w:type="dxa"/>
            </w:tcMar>
            <w:vAlign w:val="center"/>
          </w:tcPr>
          <w:p>
            <w:pPr>
              <w:spacing w:after="0"/>
            </w:pPr>
            <w:r>
              <w:rPr>
                <w:rFonts w:ascii="Calibri" w:hAnsi="Calibri" w:eastAsia="Calibri"/>
                <w:b/>
                <w:color w:val="17365D"/>
                <w:sz w:val="17"/>
              </w:rPr>
              <w:t>Format / scale</w:t>
            </w:r>
          </w:p>
        </w:tc>
        <w:tc>
          <w:tcPr>
            <w:tcW w:type="dxa" w:w="2376"/>
            <w:shd w:fill="E8EEF5"/>
            <w:tcMar>
              <w:top w:w="80" w:type="dxa"/>
              <w:start w:w="120" w:type="dxa"/>
              <w:bottom w:w="80" w:type="dxa"/>
              <w:end w:w="120" w:type="dxa"/>
            </w:tcMar>
            <w:vAlign w:val="center"/>
          </w:tcPr>
          <w:p>
            <w:pPr>
              <w:spacing w:after="0"/>
            </w:pPr>
            <w:r>
              <w:rPr>
                <w:rFonts w:ascii="Calibri" w:hAnsi="Calibri" w:eastAsia="Calibri"/>
                <w:b/>
                <w:color w:val="17365D"/>
                <w:sz w:val="17"/>
              </w:rPr>
              <w:t>Fields</w:t>
            </w:r>
          </w:p>
        </w:tc>
        <w:tc>
          <w:tcPr>
            <w:tcW w:type="dxa" w:w="1944"/>
            <w:shd w:fill="E8EEF5"/>
            <w:tcMar>
              <w:top w:w="80" w:type="dxa"/>
              <w:start w:w="120" w:type="dxa"/>
              <w:bottom w:w="80" w:type="dxa"/>
              <w:end w:w="120" w:type="dxa"/>
            </w:tcMar>
            <w:vAlign w:val="center"/>
          </w:tcPr>
          <w:p>
            <w:pPr>
              <w:spacing w:after="0"/>
            </w:pPr>
            <w:r>
              <w:rPr>
                <w:rFonts w:ascii="Calibri" w:hAnsi="Calibri" w:eastAsia="Calibri"/>
                <w:b/>
                <w:color w:val="17365D"/>
                <w:sz w:val="17"/>
              </w:rPr>
              <w:t>Access / rights</w:t>
            </w:r>
          </w:p>
        </w:tc>
        <w:tc>
          <w:tcPr>
            <w:tcW w:type="dxa" w:w="1440"/>
            <w:shd w:fill="E8EEF5"/>
            <w:tcMar>
              <w:top w:w="80" w:type="dxa"/>
              <w:start w:w="120" w:type="dxa"/>
              <w:bottom w:w="80" w:type="dxa"/>
              <w:end w:w="120" w:type="dxa"/>
            </w:tcMar>
            <w:vAlign w:val="center"/>
          </w:tcPr>
          <w:p>
            <w:pPr>
              <w:spacing w:after="0"/>
            </w:pPr>
            <w:r>
              <w:rPr>
                <w:rFonts w:ascii="Calibri" w:hAnsi="Calibri" w:eastAsia="Calibri"/>
                <w:b/>
                <w:color w:val="17365D"/>
                <w:sz w:val="17"/>
              </w:rPr>
              <w:t>ML note</w:t>
            </w:r>
          </w:p>
        </w:tc>
      </w:tr>
      <w:tr>
        <w:trPr>
          <w:cantSplit w:val="true"/>
        </w:trPr>
        <w:tc>
          <w:tcPr>
            <w:tcW w:type="dxa" w:w="1872"/>
            <w:tcMar>
              <w:top w:w="80" w:type="dxa"/>
              <w:start w:w="120" w:type="dxa"/>
              <w:bottom w:w="80" w:type="dxa"/>
              <w:end w:w="120" w:type="dxa"/>
            </w:tcMar>
            <w:vAlign w:val="top"/>
          </w:tcPr>
          <w:p>
            <w:pPr>
              <w:spacing w:after="0"/>
            </w:pPr>
            <w:hyperlink r:id="rId89">
              <w:r>
                <w:rPr>
                  <w:color w:val="0563C1"/>
                  <w:u w:val="single"/>
                </w:rPr>
                <w:t>Open Boxing data + API</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CSV + JSON</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Bouts, champions, titles, reigns, locations, references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Repository is MIT; preserve source citations</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Title-history and outcome features; verify coverage</w:t>
            </w:r>
          </w:p>
        </w:tc>
      </w:tr>
      <w:tr>
        <w:trPr>
          <w:cantSplit w:val="true"/>
        </w:trPr>
        <w:tc>
          <w:tcPr>
            <w:tcW w:type="dxa" w:w="1872"/>
            <w:tcMar>
              <w:top w:w="80" w:type="dxa"/>
              <w:start w:w="120" w:type="dxa"/>
              <w:bottom w:w="80" w:type="dxa"/>
              <w:end w:w="120" w:type="dxa"/>
            </w:tcMar>
            <w:vAlign w:val="top"/>
          </w:tcPr>
          <w:p>
            <w:pPr>
              <w:spacing w:after="0"/>
            </w:pPr>
            <w:hyperlink r:id="rId90">
              <w:r>
                <w:rPr>
                  <w:color w:val="0563C1"/>
                  <w:u w:val="single"/>
                </w:rPr>
                <w:t>Mendeley Boxing Data</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XLSX / 4,670 boxer-fight rows</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1,234 men, 2009–2017; purses, records, title fights, PPV, network and promoter</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CC BY 4.0</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Commission-record missingness; pair rows into bouts</w:t>
            </w:r>
          </w:p>
        </w:tc>
      </w:tr>
      <w:tr>
        <w:trPr>
          <w:cantSplit w:val="true"/>
        </w:trPr>
        <w:tc>
          <w:tcPr>
            <w:tcW w:type="dxa" w:w="1872"/>
            <w:tcMar>
              <w:top w:w="80" w:type="dxa"/>
              <w:start w:w="120" w:type="dxa"/>
              <w:bottom w:w="80" w:type="dxa"/>
              <w:end w:w="120" w:type="dxa"/>
            </w:tcMar>
            <w:vAlign w:val="top"/>
          </w:tcPr>
          <w:p>
            <w:pPr>
              <w:spacing w:after="0"/>
            </w:pPr>
            <w:hyperlink r:id="rId91">
              <w:r>
                <w:rPr>
                  <w:color w:val="0563C1"/>
                  <w:u w:val="single"/>
                </w:rPr>
                <w:t>Boxing Data API</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Commercial REST API</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Fights, fighters, schedules, titles, organizations, results/scorecards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Paid/freemium; contract controls ML reuse</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No bulk dump; verify provenance and redistribution</w:t>
            </w:r>
          </w:p>
        </w:tc>
      </w:tr>
      <w:tr>
        <w:trPr>
          <w:cantSplit w:val="true"/>
        </w:trPr>
        <w:tc>
          <w:tcPr>
            <w:tcW w:type="dxa" w:w="1872"/>
            <w:tcMar>
              <w:top w:w="80" w:type="dxa"/>
              <w:start w:w="120" w:type="dxa"/>
              <w:bottom w:w="80" w:type="dxa"/>
              <w:end w:w="120" w:type="dxa"/>
            </w:tcMar>
            <w:vAlign w:val="top"/>
          </w:tcPr>
          <w:p>
            <w:pPr>
              <w:spacing w:after="0"/>
            </w:pPr>
            <w:hyperlink r:id="rId92">
              <w:r>
                <w:rPr>
                  <w:color w:val="0563C1"/>
                  <w:u w:val="single"/>
                </w:rPr>
                <w:t>FiveThirtyEight undefeated boxers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Small CSV</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Fighter/date/cumulative-win series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Review repository license/source</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Narrow historical snapshot; BoxRec-derived</w:t>
            </w:r>
          </w:p>
        </w:tc>
      </w:tr>
      <w:tr>
        <w:trPr>
          <w:cantSplit w:val="true"/>
        </w:trPr>
        <w:tc>
          <w:tcPr>
            <w:tcW w:type="dxa" w:w="1872"/>
            <w:tcMar>
              <w:top w:w="80" w:type="dxa"/>
              <w:start w:w="120" w:type="dxa"/>
              <w:bottom w:w="80" w:type="dxa"/>
              <w:end w:w="120" w:type="dxa"/>
            </w:tcMar>
            <w:vAlign w:val="top"/>
          </w:tcPr>
          <w:p>
            <w:pPr>
              <w:spacing w:after="0"/>
            </w:pPr>
            <w:hyperlink r:id="rId93">
              <w:r>
                <w:rPr>
                  <w:color w:val="0563C1"/>
                  <w:u w:val="single"/>
                </w:rPr>
                <w:t>Wikidata Query Service</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SPARQL / RDF</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Boxers, countries, divisions, identifiers and notable events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Structured data CC0</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Bout-level coverage is incomplete and community-edited</w:t>
            </w:r>
          </w:p>
        </w:tc>
      </w:tr>
      <w:tr>
        <w:trPr>
          <w:cantSplit w:val="true"/>
        </w:trPr>
        <w:tc>
          <w:tcPr>
            <w:tcW w:type="dxa" w:w="1872"/>
            <w:tcMar>
              <w:top w:w="80" w:type="dxa"/>
              <w:start w:w="120" w:type="dxa"/>
              <w:bottom w:w="80" w:type="dxa"/>
              <w:end w:w="120" w:type="dxa"/>
            </w:tcMar>
            <w:vAlign w:val="top"/>
          </w:tcPr>
          <w:p>
            <w:pPr>
              <w:spacing w:after="0"/>
            </w:pPr>
            <w:hyperlink r:id="rId94">
              <w:r>
                <w:rPr>
                  <w:color w:val="0563C1"/>
                  <w:u w:val="single"/>
                </w:rPr>
                <w:t>Olympedia boxing</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Web records</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Olympic participants, events and results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No open bulk-training license verified</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Reference/validation source; do not scrape by default</w:t>
            </w:r>
          </w:p>
        </w:tc>
      </w:tr>
      <w:tr>
        <w:trPr>
          <w:cantSplit w:val="true"/>
        </w:trPr>
        <w:tc>
          <w:tcPr>
            <w:tcW w:type="dxa" w:w="1872"/>
            <w:tcMar>
              <w:top w:w="80" w:type="dxa"/>
              <w:start w:w="120" w:type="dxa"/>
              <w:bottom w:w="80" w:type="dxa"/>
              <w:end w:w="120" w:type="dxa"/>
            </w:tcMar>
            <w:vAlign w:val="top"/>
          </w:tcPr>
          <w:p>
            <w:pPr>
              <w:spacing w:after="0"/>
            </w:pPr>
            <w:hyperlink r:id="rId95">
              <w:r>
                <w:rPr>
                  <w:color w:val="0563C1"/>
                  <w:u w:val="single"/>
                </w:rPr>
                <w:t>Paris 2024 result sheets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Official PDFs</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Brackets, decisions, NOCs and judge scores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IOC copyrighted</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Public viewing is not open corpus permission</w:t>
            </w:r>
          </w:p>
        </w:tc>
      </w:tr>
      <w:tr>
        <w:trPr>
          <w:cantSplit w:val="true"/>
        </w:trPr>
        <w:tc>
          <w:tcPr>
            <w:tcW w:type="dxa" w:w="1872"/>
            <w:tcMar>
              <w:top w:w="80" w:type="dxa"/>
              <w:start w:w="120" w:type="dxa"/>
              <w:bottom w:w="80" w:type="dxa"/>
              <w:end w:w="120" w:type="dxa"/>
            </w:tcMar>
            <w:vAlign w:val="top"/>
          </w:tcPr>
          <w:p>
            <w:pPr>
              <w:spacing w:after="0"/>
            </w:pPr>
            <w:hyperlink r:id="rId96">
              <w:r>
                <w:rPr>
                  <w:color w:val="0563C1"/>
                  <w:u w:val="single"/>
                </w:rPr>
                <w:t>World Boxing rankings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Monthly PDF</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Name, NOC, weight category and rank</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No open license</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Time-stamped labels; archive versions for reproducibility</w:t>
            </w:r>
          </w:p>
        </w:tc>
      </w:tr>
      <w:tr>
        <w:trPr>
          <w:cantSplit w:val="true"/>
        </w:trPr>
        <w:tc>
          <w:tcPr>
            <w:tcW w:type="dxa" w:w="1872"/>
            <w:tcMar>
              <w:top w:w="80" w:type="dxa"/>
              <w:start w:w="120" w:type="dxa"/>
              <w:bottom w:w="80" w:type="dxa"/>
              <w:end w:w="120" w:type="dxa"/>
            </w:tcMar>
            <w:vAlign w:val="top"/>
          </w:tcPr>
          <w:p>
            <w:pPr>
              <w:spacing w:after="0"/>
            </w:pPr>
            <w:hyperlink r:id="rId97">
              <w:r>
                <w:rPr>
                  <w:color w:val="0563C1"/>
                  <w:u w:val="single"/>
                </w:rPr>
                <w:t>CPSC NEISS injury data</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Annual deidentified ED microdata</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Boxing product code 1207; diagnosis/body part/disposition/narrative</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US federal data; follow query/statistical guidance</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Do not re-identify; coding changes and sampling weights matter</w:t>
            </w:r>
          </w:p>
        </w:tc>
      </w:tr>
      <w:tr>
        <w:trPr>
          <w:cantSplit w:val="true"/>
        </w:trPr>
        <w:tc>
          <w:tcPr>
            <w:tcW w:type="dxa" w:w="1872"/>
            <w:tcMar>
              <w:top w:w="80" w:type="dxa"/>
              <w:start w:w="120" w:type="dxa"/>
              <w:bottom w:w="80" w:type="dxa"/>
              <w:end w:w="120" w:type="dxa"/>
            </w:tcMar>
            <w:vAlign w:val="top"/>
          </w:tcPr>
          <w:p>
            <w:pPr>
              <w:spacing w:after="0"/>
            </w:pPr>
            <w:hyperlink r:id="rId98">
              <w:r>
                <w:rPr>
                  <w:color w:val="0563C1"/>
                  <w:u w:val="single"/>
                </w:rPr>
                <w:t>FITBIR controlled data</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Clinical/research repository</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TBI imaging, assessments and related studies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Controlled DUA; research/noncommercial</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Sensitive; no redistribution/reidentification; confirm service status</w:t>
            </w:r>
          </w:p>
        </w:tc>
      </w:tr>
      <w:tr>
        <w:trPr>
          <w:cantSplit w:val="true"/>
        </w:trPr>
        <w:tc>
          <w:tcPr>
            <w:tcW w:type="dxa" w:w="1872"/>
            <w:tcMar>
              <w:top w:w="80" w:type="dxa"/>
              <w:start w:w="120" w:type="dxa"/>
              <w:bottom w:w="80" w:type="dxa"/>
              <w:end w:w="120" w:type="dxa"/>
            </w:tcMar>
            <w:vAlign w:val="top"/>
          </w:tcPr>
          <w:p>
            <w:pPr>
              <w:spacing w:after="0"/>
            </w:pPr>
            <w:hyperlink r:id="rId99">
              <w:r>
                <w:rPr>
                  <w:color w:val="0563C1"/>
                  <w:u w:val="single"/>
                </w:rPr>
                <w:t>BoxRec</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4"/>
              </w:rPr>
              <w:t>Proprietary web database</w:t>
            </w:r>
          </w:p>
        </w:tc>
        <w:tc>
          <w:tcPr>
            <w:tcW w:type="dxa" w:w="2376"/>
            <w:tcMar>
              <w:top w:w="80" w:type="dxa"/>
              <w:start w:w="120" w:type="dxa"/>
              <w:bottom w:w="80" w:type="dxa"/>
              <w:end w:w="120" w:type="dxa"/>
            </w:tcMar>
            <w:vAlign w:val="top"/>
          </w:tcPr>
          <w:p>
            <w:pPr>
              <w:spacing w:after="0"/>
            </w:pPr>
            <w:r>
              <w:rPr>
                <w:rFonts w:ascii="Calibri" w:hAnsi="Calibri" w:eastAsia="Calibri"/>
                <w:color w:val="1F2933"/>
                <w:sz w:val="14"/>
              </w:rPr>
              <w:t>Broad fighter/event/result/official graph</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4"/>
              </w:rPr>
              <w:t>No public API/dump; automated extraction prohibited</w:t>
            </w:r>
          </w:p>
        </w:tc>
        <w:tc>
          <w:tcPr>
            <w:tcW w:type="dxa" w:w="1440"/>
            <w:tcMar>
              <w:top w:w="80" w:type="dxa"/>
              <w:start w:w="120" w:type="dxa"/>
              <w:bottom w:w="80" w:type="dxa"/>
              <w:end w:w="120" w:type="dxa"/>
            </w:tcMar>
            <w:vAlign w:val="top"/>
          </w:tcPr>
          <w:p>
            <w:pPr>
              <w:spacing w:after="0"/>
            </w:pPr>
            <w:r>
              <w:rPr>
                <w:rFonts w:ascii="Calibri" w:hAnsi="Calibri" w:eastAsia="Calibri"/>
                <w:color w:val="1F2933"/>
                <w:sz w:val="14"/>
              </w:rPr>
              <w:t>License/export required—do not build a scraper</w:t>
            </w:r>
          </w:p>
        </w:tc>
      </w:tr>
    </w:tbl>
    <w:p>
      <w:pPr>
        <w:spacing w:after="0"/>
      </w:pPr>
    </w:p>
    <w:p>
      <w:pPr>
        <w:pStyle w:val="Heading2"/>
      </w:pPr>
      <w:r>
        <w:t>Official commission results: useful, but jurisdiction-specific</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3120"/>
        <w:gridCol w:w="3120"/>
        <w:gridCol w:w="3120"/>
      </w:tblGrid>
      <w:tr>
        <w:trPr>
          <w:tblHeader w:val="true"/>
        </w:trPr>
        <w:tc>
          <w:tcPr>
            <w:tcW w:type="dxa" w:w="2376"/>
            <w:shd w:fill="E8EEF5"/>
            <w:tcMar>
              <w:top w:w="80" w:type="dxa"/>
              <w:start w:w="120" w:type="dxa"/>
              <w:bottom w:w="80" w:type="dxa"/>
              <w:end w:w="120" w:type="dxa"/>
            </w:tcMar>
            <w:vAlign w:val="center"/>
          </w:tcPr>
          <w:p>
            <w:pPr>
              <w:spacing w:after="0"/>
            </w:pPr>
            <w:r>
              <w:rPr>
                <w:rFonts w:ascii="Calibri" w:hAnsi="Calibri" w:eastAsia="Calibri"/>
                <w:b/>
                <w:color w:val="17365D"/>
                <w:sz w:val="17"/>
              </w:rPr>
              <w:t>Source</w:t>
            </w:r>
          </w:p>
        </w:tc>
        <w:tc>
          <w:tcPr>
            <w:tcW w:type="dxa" w:w="3168"/>
            <w:shd w:fill="E8EEF5"/>
            <w:tcMar>
              <w:top w:w="80" w:type="dxa"/>
              <w:start w:w="120" w:type="dxa"/>
              <w:bottom w:w="80" w:type="dxa"/>
              <w:end w:w="120" w:type="dxa"/>
            </w:tcMar>
            <w:vAlign w:val="center"/>
          </w:tcPr>
          <w:p>
            <w:pPr>
              <w:spacing w:after="0"/>
            </w:pPr>
            <w:r>
              <w:rPr>
                <w:rFonts w:ascii="Calibri" w:hAnsi="Calibri" w:eastAsia="Calibri"/>
                <w:b/>
                <w:color w:val="17365D"/>
                <w:sz w:val="17"/>
              </w:rPr>
              <w:t>Content</w:t>
            </w:r>
          </w:p>
        </w:tc>
        <w:tc>
          <w:tcPr>
            <w:tcW w:type="dxa" w:w="3816"/>
            <w:shd w:fill="E8EEF5"/>
            <w:tcMar>
              <w:top w:w="80" w:type="dxa"/>
              <w:start w:w="120" w:type="dxa"/>
              <w:bottom w:w="80" w:type="dxa"/>
              <w:end w:w="120" w:type="dxa"/>
            </w:tcMar>
            <w:vAlign w:val="center"/>
          </w:tcPr>
          <w:p>
            <w:pPr>
              <w:spacing w:after="0"/>
            </w:pPr>
            <w:r>
              <w:rPr>
                <w:rFonts w:ascii="Calibri" w:hAnsi="Calibri" w:eastAsia="Calibri"/>
                <w:b/>
                <w:color w:val="17365D"/>
                <w:sz w:val="17"/>
              </w:rPr>
              <w:t>Constraint</w:t>
            </w:r>
          </w:p>
        </w:tc>
      </w:tr>
      <w:tr>
        <w:trPr>
          <w:cantSplit w:val="true"/>
        </w:trPr>
        <w:tc>
          <w:tcPr>
            <w:tcW w:type="dxa" w:w="2376"/>
            <w:tcMar>
              <w:top w:w="80" w:type="dxa"/>
              <w:start w:w="120" w:type="dxa"/>
              <w:bottom w:w="80" w:type="dxa"/>
              <w:end w:w="120" w:type="dxa"/>
            </w:tcMar>
            <w:vAlign w:val="top"/>
          </w:tcPr>
          <w:p>
            <w:pPr>
              <w:spacing w:after="0"/>
            </w:pPr>
            <w:hyperlink r:id="rId100">
              <w:r>
                <w:rPr>
                  <w:color w:val="0563C1"/>
                  <w:u w:val="single"/>
                </w:rPr>
                <w:t>California CSAC results</w:t>
              </w:r>
            </w:hyperlink>
          </w:p>
        </w:tc>
        <w:tc>
          <w:tcPr>
            <w:tcW w:type="dxa" w:w="3168"/>
            <w:tcMar>
              <w:top w:w="80" w:type="dxa"/>
              <w:start w:w="120" w:type="dxa"/>
              <w:bottom w:w="80" w:type="dxa"/>
              <w:end w:w="120" w:type="dxa"/>
            </w:tcMar>
            <w:vAlign w:val="top"/>
          </w:tcPr>
          <w:p>
            <w:pPr>
              <w:spacing w:after="0"/>
            </w:pPr>
            <w:r>
              <w:rPr>
                <w:rFonts w:ascii="Calibri" w:hAnsi="Calibri" w:eastAsia="Calibri"/>
                <w:color w:val="1F2933"/>
                <w:sz w:val="17"/>
              </w:rPr>
              <w:t>Event/result PDFs; some include purses, suspensions or personal fields</w:t>
            </w:r>
          </w:p>
        </w:tc>
        <w:tc>
          <w:tcPr>
            <w:tcW w:type="dxa" w:w="3816"/>
            <w:tcMar>
              <w:top w:w="80" w:type="dxa"/>
              <w:start w:w="120" w:type="dxa"/>
              <w:bottom w:w="80" w:type="dxa"/>
              <w:end w:w="120" w:type="dxa"/>
            </w:tcMar>
            <w:vAlign w:val="top"/>
          </w:tcPr>
          <w:p>
            <w:pPr>
              <w:spacing w:after="0"/>
            </w:pPr>
            <w:r>
              <w:rPr>
                <w:rFonts w:ascii="Calibri" w:hAnsi="Calibri" w:eastAsia="Calibri"/>
                <w:color w:val="1F2933"/>
                <w:sz w:val="17"/>
              </w:rPr>
              <w:t>DCA permits copying for non-commercial use with notices; minimize PII/medical data</w:t>
            </w:r>
          </w:p>
        </w:tc>
      </w:tr>
      <w:tr>
        <w:trPr>
          <w:cantSplit w:val="true"/>
        </w:trPr>
        <w:tc>
          <w:tcPr>
            <w:tcW w:type="dxa" w:w="2376"/>
            <w:tcMar>
              <w:top w:w="80" w:type="dxa"/>
              <w:start w:w="120" w:type="dxa"/>
              <w:bottom w:w="80" w:type="dxa"/>
              <w:end w:w="120" w:type="dxa"/>
            </w:tcMar>
            <w:vAlign w:val="top"/>
          </w:tcPr>
          <w:p>
            <w:pPr>
              <w:spacing w:after="0"/>
            </w:pPr>
            <w:hyperlink r:id="rId101">
              <w:r>
                <w:rPr>
                  <w:color w:val="0563C1"/>
                  <w:u w:val="single"/>
                </w:rPr>
                <w:t>Nevada results</w:t>
              </w:r>
            </w:hyperlink>
          </w:p>
        </w:tc>
        <w:tc>
          <w:tcPr>
            <w:tcW w:type="dxa" w:w="3168"/>
            <w:tcMar>
              <w:top w:w="80" w:type="dxa"/>
              <w:start w:w="120" w:type="dxa"/>
              <w:bottom w:w="80" w:type="dxa"/>
              <w:end w:w="120" w:type="dxa"/>
            </w:tcMar>
            <w:vAlign w:val="top"/>
          </w:tcPr>
          <w:p>
            <w:pPr>
              <w:spacing w:after="0"/>
            </w:pPr>
            <w:r>
              <w:rPr>
                <w:rFonts w:ascii="Calibri" w:hAnsi="Calibri" w:eastAsia="Calibri"/>
                <w:color w:val="1F2933"/>
                <w:sz w:val="17"/>
              </w:rPr>
              <w:t>Official event result records</w:t>
            </w:r>
          </w:p>
        </w:tc>
        <w:tc>
          <w:tcPr>
            <w:tcW w:type="dxa" w:w="3816"/>
            <w:tcMar>
              <w:top w:w="80" w:type="dxa"/>
              <w:start w:w="120" w:type="dxa"/>
              <w:bottom w:w="80" w:type="dxa"/>
              <w:end w:w="120" w:type="dxa"/>
            </w:tcMar>
            <w:vAlign w:val="top"/>
          </w:tcPr>
          <w:p>
            <w:pPr>
              <w:spacing w:after="0"/>
            </w:pPr>
            <w:r>
              <w:rPr>
                <w:rFonts w:ascii="Calibri" w:hAnsi="Calibri" w:eastAsia="Calibri"/>
                <w:color w:val="1F2933"/>
                <w:sz w:val="17"/>
              </w:rPr>
              <w:t>No clear open ML/bulk-reuse license; request permission</w:t>
            </w:r>
          </w:p>
        </w:tc>
      </w:tr>
      <w:tr>
        <w:trPr>
          <w:cantSplit w:val="true"/>
        </w:trPr>
        <w:tc>
          <w:tcPr>
            <w:tcW w:type="dxa" w:w="2376"/>
            <w:tcMar>
              <w:top w:w="80" w:type="dxa"/>
              <w:start w:w="120" w:type="dxa"/>
              <w:bottom w:w="80" w:type="dxa"/>
              <w:end w:w="120" w:type="dxa"/>
            </w:tcMar>
            <w:vAlign w:val="top"/>
          </w:tcPr>
          <w:p>
            <w:pPr>
              <w:spacing w:after="0"/>
            </w:pPr>
            <w:hyperlink r:id="rId102">
              <w:r>
                <w:rPr>
                  <w:color w:val="0563C1"/>
                  <w:u w:val="single"/>
                </w:rPr>
                <w:t>Pennsylvania results</w:t>
              </w:r>
            </w:hyperlink>
          </w:p>
        </w:tc>
        <w:tc>
          <w:tcPr>
            <w:tcW w:type="dxa" w:w="3168"/>
            <w:tcMar>
              <w:top w:w="80" w:type="dxa"/>
              <w:start w:w="120" w:type="dxa"/>
              <w:bottom w:w="80" w:type="dxa"/>
              <w:end w:w="120" w:type="dxa"/>
            </w:tcMar>
            <w:vAlign w:val="top"/>
          </w:tcPr>
          <w:p>
            <w:pPr>
              <w:spacing w:after="0"/>
            </w:pPr>
            <w:r>
              <w:rPr>
                <w:rFonts w:ascii="Calibri" w:hAnsi="Calibri" w:eastAsia="Calibri"/>
                <w:color w:val="1F2933"/>
                <w:sz w:val="17"/>
              </w:rPr>
              <w:t>Official event result records</w:t>
            </w:r>
          </w:p>
        </w:tc>
        <w:tc>
          <w:tcPr>
            <w:tcW w:type="dxa" w:w="3816"/>
            <w:tcMar>
              <w:top w:w="80" w:type="dxa"/>
              <w:start w:w="120" w:type="dxa"/>
              <w:bottom w:w="80" w:type="dxa"/>
              <w:end w:w="120" w:type="dxa"/>
            </w:tcMar>
            <w:vAlign w:val="top"/>
          </w:tcPr>
          <w:p>
            <w:pPr>
              <w:spacing w:after="0"/>
            </w:pPr>
            <w:r>
              <w:rPr>
                <w:rFonts w:ascii="Calibri" w:hAnsi="Calibri" w:eastAsia="Calibri"/>
                <w:color w:val="1F2933"/>
                <w:sz w:val="17"/>
              </w:rPr>
              <w:t>No clear open ML/bulk-reuse license; request permission</w:t>
            </w:r>
          </w:p>
        </w:tc>
      </w:tr>
    </w:tbl>
    <w:p>
      <w:pPr>
        <w:spacing w:after="0"/>
      </w:pPr>
    </w:p>
    <w:p>
      <w:pPr>
        <w:pStyle w:val="Heading1"/>
      </w:pPr>
      <w:r>
        <w:t>6. Authoritative rules, schemas and safety documentation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E8EEF5"/>
            <w:tcMar>
              <w:top w:w="130" w:type="dxa"/>
              <w:start w:w="170" w:type="dxa"/>
              <w:bottom w:w="130" w:type="dxa"/>
              <w:end w:w="170" w:type="dxa"/>
            </w:tcMar>
          </w:tcPr>
          <w:p>
            <w:pPr>
              <w:spacing w:after="40"/>
            </w:pPr>
            <w:r>
              <w:rPr>
                <w:rFonts w:ascii="Calibri" w:hAnsi="Calibri" w:eastAsia="Calibri"/>
                <w:b/>
                <w:color w:val="2E74B5"/>
                <w:sz w:val="21"/>
              </w:rPr>
              <w:t>Use documents as annotation contracts</w:t>
            </w:r>
          </w:p>
          <w:p>
            <w:pPr>
              <w:spacing w:after="0"/>
            </w:pPr>
            <w:r>
              <w:rPr>
                <w:rFonts w:ascii="Calibri" w:hAnsi="Calibri" w:eastAsia="Calibri"/>
                <w:color w:val="1F2933"/>
                <w:sz w:val="19"/>
              </w:rPr>
              <w:t>Translate the governing rule set into versioned label definitions, decision logic and annotator examples. Record organization, jurisdiction, effective date and event because Olympic-style, national-amateur and professional title rules are not interchangeable.</w:t>
            </w:r>
          </w:p>
        </w:tc>
      </w:tr>
    </w:tbl>
    <w:p>
      <w:pPr>
        <w:spacing w:after="0"/>
      </w:pP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340"/>
        <w:gridCol w:w="2340"/>
        <w:gridCol w:w="2340"/>
        <w:gridCol w:w="2340"/>
      </w:tblGrid>
      <w:tr>
        <w:trPr>
          <w:tblHeader w:val="true"/>
        </w:trPr>
        <w:tc>
          <w:tcPr>
            <w:tcW w:type="dxa" w:w="2304"/>
            <w:shd w:fill="E8EEF5"/>
            <w:tcMar>
              <w:top w:w="80" w:type="dxa"/>
              <w:start w:w="120" w:type="dxa"/>
              <w:bottom w:w="80" w:type="dxa"/>
              <w:end w:w="120" w:type="dxa"/>
            </w:tcMar>
            <w:vAlign w:val="center"/>
          </w:tcPr>
          <w:p>
            <w:pPr>
              <w:spacing w:after="0"/>
            </w:pPr>
            <w:r>
              <w:rPr>
                <w:rFonts w:ascii="Calibri" w:hAnsi="Calibri" w:eastAsia="Calibri"/>
                <w:b/>
                <w:color w:val="17365D"/>
                <w:sz w:val="17"/>
              </w:rPr>
              <w:t>Document</w:t>
            </w:r>
          </w:p>
        </w:tc>
        <w:tc>
          <w:tcPr>
            <w:tcW w:type="dxa" w:w="1728"/>
            <w:shd w:fill="E8EEF5"/>
            <w:tcMar>
              <w:top w:w="80" w:type="dxa"/>
              <w:start w:w="120" w:type="dxa"/>
              <w:bottom w:w="80" w:type="dxa"/>
              <w:end w:w="120" w:type="dxa"/>
            </w:tcMar>
            <w:vAlign w:val="center"/>
          </w:tcPr>
          <w:p>
            <w:pPr>
              <w:spacing w:after="0"/>
            </w:pPr>
            <w:r>
              <w:rPr>
                <w:rFonts w:ascii="Calibri" w:hAnsi="Calibri" w:eastAsia="Calibri"/>
                <w:b/>
                <w:color w:val="17365D"/>
                <w:sz w:val="17"/>
              </w:rPr>
              <w:t>Domain</w:t>
            </w:r>
          </w:p>
        </w:tc>
        <w:tc>
          <w:tcPr>
            <w:tcW w:type="dxa" w:w="3384"/>
            <w:shd w:fill="E8EEF5"/>
            <w:tcMar>
              <w:top w:w="80" w:type="dxa"/>
              <w:start w:w="120" w:type="dxa"/>
              <w:bottom w:w="80" w:type="dxa"/>
              <w:end w:w="120" w:type="dxa"/>
            </w:tcMar>
            <w:vAlign w:val="center"/>
          </w:tcPr>
          <w:p>
            <w:pPr>
              <w:spacing w:after="0"/>
            </w:pPr>
            <w:r>
              <w:rPr>
                <w:rFonts w:ascii="Calibri" w:hAnsi="Calibri" w:eastAsia="Calibri"/>
                <w:b/>
                <w:color w:val="17365D"/>
                <w:sz w:val="17"/>
              </w:rPr>
              <w:t>What it defines</w:t>
            </w:r>
          </w:p>
        </w:tc>
        <w:tc>
          <w:tcPr>
            <w:tcW w:type="dxa" w:w="1944"/>
            <w:shd w:fill="E8EEF5"/>
            <w:tcMar>
              <w:top w:w="80" w:type="dxa"/>
              <w:start w:w="120" w:type="dxa"/>
              <w:bottom w:w="80" w:type="dxa"/>
              <w:end w:w="120" w:type="dxa"/>
            </w:tcMar>
            <w:vAlign w:val="center"/>
          </w:tcPr>
          <w:p>
            <w:pPr>
              <w:spacing w:after="0"/>
            </w:pPr>
            <w:r>
              <w:rPr>
                <w:rFonts w:ascii="Calibri" w:hAnsi="Calibri" w:eastAsia="Calibri"/>
                <w:b/>
                <w:color w:val="17365D"/>
                <w:sz w:val="17"/>
              </w:rPr>
              <w:t>ML use</w:t>
            </w:r>
          </w:p>
        </w:tc>
      </w:tr>
      <w:tr>
        <w:trPr>
          <w:cantSplit w:val="true"/>
        </w:trPr>
        <w:tc>
          <w:tcPr>
            <w:tcW w:type="dxa" w:w="2304"/>
            <w:tcMar>
              <w:top w:w="80" w:type="dxa"/>
              <w:start w:w="120" w:type="dxa"/>
              <w:bottom w:w="80" w:type="dxa"/>
              <w:end w:w="120" w:type="dxa"/>
            </w:tcMar>
            <w:vAlign w:val="top"/>
          </w:tcPr>
          <w:p>
            <w:pPr>
              <w:spacing w:after="0"/>
            </w:pPr>
            <w:hyperlink r:id="rId103">
              <w:r>
                <w:rPr>
                  <w:color w:val="0563C1"/>
                  <w:u w:val="single"/>
                </w:rPr>
                <w:t>World Boxing Competition Rules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Olympic-style competition</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Bout format, age/weight, judging, fouls, knockdowns, decisions, equipment</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Canonical label ontology and validation rules</w:t>
            </w:r>
          </w:p>
        </w:tc>
      </w:tr>
      <w:tr>
        <w:trPr>
          <w:cantSplit w:val="true"/>
        </w:trPr>
        <w:tc>
          <w:tcPr>
            <w:tcW w:type="dxa" w:w="2304"/>
            <w:tcMar>
              <w:top w:w="80" w:type="dxa"/>
              <w:start w:w="120" w:type="dxa"/>
              <w:bottom w:w="80" w:type="dxa"/>
              <w:end w:w="120" w:type="dxa"/>
            </w:tcMar>
            <w:vAlign w:val="top"/>
          </w:tcPr>
          <w:p>
            <w:pPr>
              <w:spacing w:after="0"/>
            </w:pPr>
            <w:hyperlink r:id="rId104">
              <w:r>
                <w:rPr>
                  <w:color w:val="0563C1"/>
                  <w:u w:val="single"/>
                </w:rPr>
                <w:t>World Boxing Medical Handbook 2025</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Medical/safety</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Exams, exclusions, concussion/head injury, restrictions, return to boxing</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Clinical-label definitions; not patient data</w:t>
            </w:r>
          </w:p>
        </w:tc>
      </w:tr>
      <w:tr>
        <w:trPr>
          <w:cantSplit w:val="true"/>
        </w:trPr>
        <w:tc>
          <w:tcPr>
            <w:tcW w:type="dxa" w:w="2304"/>
            <w:tcMar>
              <w:top w:w="80" w:type="dxa"/>
              <w:start w:w="120" w:type="dxa"/>
              <w:bottom w:w="80" w:type="dxa"/>
              <w:end w:w="120" w:type="dxa"/>
            </w:tcMar>
            <w:vAlign w:val="top"/>
          </w:tcPr>
          <w:p>
            <w:pPr>
              <w:spacing w:after="0"/>
            </w:pPr>
            <w:hyperlink r:id="rId105">
              <w:r>
                <w:rPr>
                  <w:color w:val="0563C1"/>
                  <w:u w:val="single"/>
                </w:rPr>
                <w:t>World Boxing competitions hub</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Current official hub</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Rules, rankings, medical forms, anti-doping and event docs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Prefer hub when documents are revised</w:t>
            </w:r>
          </w:p>
        </w:tc>
      </w:tr>
      <w:tr>
        <w:trPr>
          <w:cantSplit w:val="true"/>
        </w:trPr>
        <w:tc>
          <w:tcPr>
            <w:tcW w:type="dxa" w:w="2304"/>
            <w:tcMar>
              <w:top w:w="80" w:type="dxa"/>
              <w:start w:w="120" w:type="dxa"/>
              <w:bottom w:w="80" w:type="dxa"/>
              <w:end w:w="120" w:type="dxa"/>
            </w:tcMar>
            <w:vAlign w:val="top"/>
          </w:tcPr>
          <w:p>
            <w:pPr>
              <w:spacing w:after="0"/>
            </w:pPr>
            <w:hyperlink r:id="rId106">
              <w:r>
                <w:rPr>
                  <w:color w:val="0563C1"/>
                  <w:u w:val="single"/>
                </w:rPr>
                <w:t>USA Boxing 2026 Rule Book</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US amateur</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Current national competition rules effective 1 Jan 2026</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US-specific scoring/event rubric</w:t>
            </w:r>
          </w:p>
        </w:tc>
      </w:tr>
      <w:tr>
        <w:trPr>
          <w:cantSplit w:val="true"/>
        </w:trPr>
        <w:tc>
          <w:tcPr>
            <w:tcW w:type="dxa" w:w="2304"/>
            <w:tcMar>
              <w:top w:w="80" w:type="dxa"/>
              <w:start w:w="120" w:type="dxa"/>
              <w:bottom w:w="80" w:type="dxa"/>
              <w:end w:w="120" w:type="dxa"/>
            </w:tcMar>
            <w:vAlign w:val="top"/>
          </w:tcPr>
          <w:p>
            <w:pPr>
              <w:spacing w:after="0"/>
            </w:pPr>
            <w:hyperlink r:id="rId107">
              <w:r>
                <w:rPr>
                  <w:color w:val="0563C1"/>
                  <w:u w:val="single"/>
                </w:rPr>
                <w:t>USA Boxing officials hub</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Officials/forms</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Officials and R&amp;J manuals, criteria, scorecard, bout/incident/physician forms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Annotation guidelines and form schemas</w:t>
            </w:r>
          </w:p>
        </w:tc>
      </w:tr>
      <w:tr>
        <w:trPr>
          <w:cantSplit w:val="true"/>
        </w:trPr>
        <w:tc>
          <w:tcPr>
            <w:tcW w:type="dxa" w:w="2304"/>
            <w:tcMar>
              <w:top w:w="80" w:type="dxa"/>
              <w:start w:w="120" w:type="dxa"/>
              <w:bottom w:w="80" w:type="dxa"/>
              <w:end w:w="120" w:type="dxa"/>
            </w:tcMar>
            <w:vAlign w:val="top"/>
          </w:tcPr>
          <w:p>
            <w:pPr>
              <w:spacing w:after="0"/>
            </w:pPr>
            <w:hyperlink r:id="rId108">
              <w:r>
                <w:rPr>
                  <w:color w:val="0563C1"/>
                  <w:u w:val="single"/>
                </w:rPr>
                <w:t>ABC Unified Boxing Rules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US professional</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Rounds, scoring, knockdowns, fouls and outcomes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Professional event/outcome ontology</w:t>
            </w:r>
          </w:p>
        </w:tc>
      </w:tr>
      <w:tr>
        <w:trPr>
          <w:cantSplit w:val="true"/>
        </w:trPr>
        <w:tc>
          <w:tcPr>
            <w:tcW w:type="dxa" w:w="2304"/>
            <w:tcMar>
              <w:top w:w="80" w:type="dxa"/>
              <w:start w:w="120" w:type="dxa"/>
              <w:bottom w:w="80" w:type="dxa"/>
              <w:end w:w="120" w:type="dxa"/>
            </w:tcMar>
            <w:vAlign w:val="top"/>
          </w:tcPr>
          <w:p>
            <w:pPr>
              <w:spacing w:after="0"/>
            </w:pPr>
            <w:hyperlink r:id="rId109">
              <w:r>
                <w:rPr>
                  <w:color w:val="0563C1"/>
                  <w:u w:val="single"/>
                </w:rPr>
                <w:t>ABC Boxing Judge Manual</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Professional judging</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Clean punching, aggressiveness, ring generalship, defense and round scoring</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Human-label rubric for score models</w:t>
            </w:r>
          </w:p>
        </w:tc>
      </w:tr>
      <w:tr>
        <w:trPr>
          <w:cantSplit w:val="true"/>
        </w:trPr>
        <w:tc>
          <w:tcPr>
            <w:tcW w:type="dxa" w:w="2304"/>
            <w:tcMar>
              <w:top w:w="80" w:type="dxa"/>
              <w:start w:w="120" w:type="dxa"/>
              <w:bottom w:w="80" w:type="dxa"/>
              <w:end w:w="120" w:type="dxa"/>
            </w:tcMar>
            <w:vAlign w:val="top"/>
          </w:tcPr>
          <w:p>
            <w:pPr>
              <w:spacing w:after="0"/>
            </w:pPr>
            <w:hyperlink r:id="rId110">
              <w:r>
                <w:rPr>
                  <w:color w:val="0563C1"/>
                  <w:u w:val="single"/>
                </w:rPr>
                <w:t>ABC Boxing Referee Manual</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Refereeing/stoppages</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Commands, fouls, counts, injury and stoppage procedures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Temporal event/stoppage annotations</w:t>
            </w:r>
          </w:p>
        </w:tc>
      </w:tr>
      <w:tr>
        <w:trPr>
          <w:cantSplit w:val="true"/>
        </w:trPr>
        <w:tc>
          <w:tcPr>
            <w:tcW w:type="dxa" w:w="2304"/>
            <w:tcMar>
              <w:top w:w="80" w:type="dxa"/>
              <w:start w:w="120" w:type="dxa"/>
              <w:bottom w:w="80" w:type="dxa"/>
              <w:end w:w="120" w:type="dxa"/>
            </w:tcMar>
            <w:vAlign w:val="top"/>
          </w:tcPr>
          <w:p>
            <w:pPr>
              <w:spacing w:after="0"/>
            </w:pPr>
            <w:hyperlink r:id="rId111">
              <w:r>
                <w:rPr>
                  <w:color w:val="0563C1"/>
                  <w:u w:val="single"/>
                </w:rPr>
                <w:t>ARP position statements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Combat-sports medicine</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Concussion, neuroimaging, weight management and high-risk athletes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Safety taxonomy and clinical governance</w:t>
            </w:r>
          </w:p>
        </w:tc>
      </w:tr>
      <w:tr>
        <w:trPr>
          <w:cantSplit w:val="true"/>
        </w:trPr>
        <w:tc>
          <w:tcPr>
            <w:tcW w:type="dxa" w:w="2304"/>
            <w:tcMar>
              <w:top w:w="80" w:type="dxa"/>
              <w:start w:w="120" w:type="dxa"/>
              <w:bottom w:w="80" w:type="dxa"/>
              <w:end w:w="120" w:type="dxa"/>
            </w:tcMar>
            <w:vAlign w:val="top"/>
          </w:tcPr>
          <w:p>
            <w:pPr>
              <w:spacing w:after="0"/>
            </w:pPr>
            <w:hyperlink r:id="rId112">
              <w:r>
                <w:rPr>
                  <w:color w:val="0563C1"/>
                  <w:u w:val="single"/>
                </w:rPr>
                <w:t>NINDS Sport-Related Concussion CDEs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Clinical standardization</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Common data elements, forms and outcome guidance</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Interoperable concussion schemas; some instruments proprietary</w:t>
            </w:r>
          </w:p>
        </w:tc>
      </w:tr>
      <w:tr>
        <w:trPr>
          <w:cantSplit w:val="true"/>
        </w:trPr>
        <w:tc>
          <w:tcPr>
            <w:tcW w:type="dxa" w:w="2304"/>
            <w:tcMar>
              <w:top w:w="80" w:type="dxa"/>
              <w:start w:w="120" w:type="dxa"/>
              <w:bottom w:w="80" w:type="dxa"/>
              <w:end w:w="120" w:type="dxa"/>
            </w:tcMar>
            <w:vAlign w:val="top"/>
          </w:tcPr>
          <w:p>
            <w:pPr>
              <w:spacing w:after="0"/>
            </w:pPr>
            <w:hyperlink r:id="rId113">
              <w:r>
                <w:rPr>
                  <w:color w:val="0563C1"/>
                  <w:u w:val="single"/>
                </w:rPr>
                <w:t>Olympic ODF Boxing Data Dictionary</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Official result schema</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Phases, boxer IDs/NOCs, decisions, judges and round scores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Canonical database/message design; © IOC</w:t>
            </w:r>
          </w:p>
        </w:tc>
      </w:tr>
      <w:tr>
        <w:trPr>
          <w:cantSplit w:val="true"/>
        </w:trPr>
        <w:tc>
          <w:tcPr>
            <w:tcW w:type="dxa" w:w="2304"/>
            <w:tcMar>
              <w:top w:w="80" w:type="dxa"/>
              <w:start w:w="120" w:type="dxa"/>
              <w:bottom w:w="80" w:type="dxa"/>
              <w:end w:w="120" w:type="dxa"/>
            </w:tcMar>
            <w:vAlign w:val="top"/>
          </w:tcPr>
          <w:p>
            <w:pPr>
              <w:spacing w:after="0"/>
            </w:pPr>
            <w:hyperlink r:id="rId114">
              <w:r>
                <w:rPr>
                  <w:color w:val="0563C1"/>
                  <w:u w:val="single"/>
                </w:rPr>
                <w:t>IBA rules hub</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IBA competition variant</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Technical/competition and related rules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Use only for IBA-governed labels</w:t>
            </w:r>
          </w:p>
        </w:tc>
      </w:tr>
      <w:tr>
        <w:trPr>
          <w:cantSplit w:val="true"/>
        </w:trPr>
        <w:tc>
          <w:tcPr>
            <w:tcW w:type="dxa" w:w="2304"/>
            <w:tcMar>
              <w:top w:w="80" w:type="dxa"/>
              <w:start w:w="120" w:type="dxa"/>
              <w:bottom w:w="80" w:type="dxa"/>
              <w:end w:w="120" w:type="dxa"/>
            </w:tcMar>
            <w:vAlign w:val="top"/>
          </w:tcPr>
          <w:p>
            <w:pPr>
              <w:spacing w:after="0"/>
            </w:pPr>
            <w:hyperlink r:id="rId115">
              <w:r>
                <w:rPr>
                  <w:color w:val="0563C1"/>
                  <w:u w:val="single"/>
                </w:rPr>
                <w:t>WBC rules and documents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Professional title variant</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Championship, scoring, safety and ring-official documents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Apply only where WBC rules govern</w:t>
            </w:r>
          </w:p>
        </w:tc>
      </w:tr>
      <w:tr>
        <w:trPr>
          <w:cantSplit w:val="true"/>
        </w:trPr>
        <w:tc>
          <w:tcPr>
            <w:tcW w:type="dxa" w:w="2304"/>
            <w:tcMar>
              <w:top w:w="80" w:type="dxa"/>
              <w:start w:w="120" w:type="dxa"/>
              <w:bottom w:w="80" w:type="dxa"/>
              <w:end w:w="120" w:type="dxa"/>
            </w:tcMar>
            <w:vAlign w:val="top"/>
          </w:tcPr>
          <w:p>
            <w:pPr>
              <w:spacing w:after="0"/>
            </w:pPr>
            <w:hyperlink r:id="rId116">
              <w:r>
                <w:rPr>
                  <w:color w:val="0563C1"/>
                  <w:u w:val="single"/>
                </w:rPr>
                <w:t>WBA rules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Professional title variant</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WBA championship/ranking governance</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Apply only where WBA rules govern</w:t>
            </w:r>
          </w:p>
        </w:tc>
      </w:tr>
      <w:tr>
        <w:trPr>
          <w:cantSplit w:val="true"/>
        </w:trPr>
        <w:tc>
          <w:tcPr>
            <w:tcW w:type="dxa" w:w="2304"/>
            <w:tcMar>
              <w:top w:w="80" w:type="dxa"/>
              <w:start w:w="120" w:type="dxa"/>
              <w:bottom w:w="80" w:type="dxa"/>
              <w:end w:w="120" w:type="dxa"/>
            </w:tcMar>
            <w:vAlign w:val="top"/>
          </w:tcPr>
          <w:p>
            <w:pPr>
              <w:spacing w:after="0"/>
            </w:pPr>
            <w:hyperlink r:id="rId117">
              <w:r>
                <w:rPr>
                  <w:color w:val="0563C1"/>
                  <w:u w:val="single"/>
                </w:rPr>
                <w:t>IBF championship/bout rules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Professional title variant</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Rounds, weigh-in, scoring and contest procedures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Apply only where IBF rules govern</w:t>
            </w:r>
          </w:p>
        </w:tc>
      </w:tr>
      <w:tr>
        <w:trPr>
          <w:cantSplit w:val="true"/>
        </w:trPr>
        <w:tc>
          <w:tcPr>
            <w:tcW w:type="dxa" w:w="2304"/>
            <w:tcMar>
              <w:top w:w="80" w:type="dxa"/>
              <w:start w:w="120" w:type="dxa"/>
              <w:bottom w:w="80" w:type="dxa"/>
              <w:end w:w="120" w:type="dxa"/>
            </w:tcMar>
            <w:vAlign w:val="top"/>
          </w:tcPr>
          <w:p>
            <w:pPr>
              <w:spacing w:after="0"/>
            </w:pPr>
            <w:hyperlink r:id="rId118">
              <w:r>
                <w:rPr>
                  <w:color w:val="0563C1"/>
                  <w:u w:val="single"/>
                </w:rPr>
                <w:t>WBO regulations</w:t>
              </w:r>
            </w:hyperlink>
          </w:p>
        </w:tc>
        <w:tc>
          <w:tcPr>
            <w:tcW w:type="dxa" w:w="1728"/>
            <w:tcMar>
              <w:top w:w="80" w:type="dxa"/>
              <w:start w:w="120" w:type="dxa"/>
              <w:bottom w:w="80" w:type="dxa"/>
              <w:end w:w="120" w:type="dxa"/>
            </w:tcMar>
            <w:vAlign w:val="top"/>
          </w:tcPr>
          <w:p>
            <w:pPr>
              <w:spacing w:after="0"/>
            </w:pPr>
            <w:r>
              <w:rPr>
                <w:rFonts w:ascii="Calibri" w:hAnsi="Calibri" w:eastAsia="Calibri"/>
                <w:color w:val="1F2933"/>
                <w:sz w:val="15"/>
              </w:rPr>
              <w:t>Professional title variant</w:t>
            </w:r>
          </w:p>
        </w:tc>
        <w:tc>
          <w:tcPr>
            <w:tcW w:type="dxa" w:w="3384"/>
            <w:tcMar>
              <w:top w:w="80" w:type="dxa"/>
              <w:start w:w="120" w:type="dxa"/>
              <w:bottom w:w="80" w:type="dxa"/>
              <w:end w:w="120" w:type="dxa"/>
            </w:tcMar>
            <w:vAlign w:val="top"/>
          </w:tcPr>
          <w:p>
            <w:pPr>
              <w:spacing w:after="0"/>
            </w:pPr>
            <w:r>
              <w:rPr>
                <w:rFonts w:ascii="Calibri" w:hAnsi="Calibri" w:eastAsia="Calibri"/>
                <w:color w:val="1F2933"/>
                <w:sz w:val="15"/>
              </w:rPr>
              <w:t>WBO championship contest rules</w:t>
            </w:r>
          </w:p>
        </w:tc>
        <w:tc>
          <w:tcPr>
            <w:tcW w:type="dxa" w:w="1944"/>
            <w:tcMar>
              <w:top w:w="80" w:type="dxa"/>
              <w:start w:w="120" w:type="dxa"/>
              <w:bottom w:w="80" w:type="dxa"/>
              <w:end w:w="120" w:type="dxa"/>
            </w:tcMar>
            <w:vAlign w:val="top"/>
          </w:tcPr>
          <w:p>
            <w:pPr>
              <w:spacing w:after="0"/>
            </w:pPr>
            <w:r>
              <w:rPr>
                <w:rFonts w:ascii="Calibri" w:hAnsi="Calibri" w:eastAsia="Calibri"/>
                <w:color w:val="1F2933"/>
                <w:sz w:val="15"/>
              </w:rPr>
              <w:t>Apply only where WBO rules govern</w:t>
            </w:r>
          </w:p>
        </w:tc>
      </w:tr>
    </w:tbl>
    <w:p>
      <w:pPr>
        <w:spacing w:after="0"/>
      </w:pPr>
    </w:p>
    <w:p>
      <w:pPr>
        <w:pStyle w:val="SmallNote"/>
      </w:pPr>
      <w:r>
        <w:rPr>
          <w:rFonts w:ascii="Calibri" w:hAnsi="Calibri" w:eastAsia="Calibri"/>
          <w:b/>
          <w:color w:val="52606D"/>
        </w:rPr>
        <w:t xml:space="preserve">Rights note. </w:t>
      </w:r>
      <w:r>
        <w:rPr>
          <w:rFonts w:ascii="Calibri" w:hAnsi="Calibri" w:eastAsia="Calibri"/>
          <w:color w:val="52606D"/>
        </w:rPr>
        <w:t>No open-content license was found for most federation, commission and sanctioning-body manuals. Hyperlink and cite them for definitions; obtain permission before bulk text ingestion, republishing excerpts, or training a document model on the full corpus.</w:t>
      </w:r>
    </w:p>
    <w:p>
      <w:pPr>
        <w:pStyle w:val="Heading1"/>
      </w:pPr>
      <w:r>
        <w:t>7. Annotation, formats and model-development documentation</w:t>
      </w:r>
    </w:p>
    <w:p>
      <w:r>
        <w:rPr>
          <w:rFonts w:ascii="Calibri" w:hAnsi="Calibri" w:eastAsia="Calibri"/>
          <w:color w:val="52606D"/>
        </w:rPr>
        <w:t>A consistent schema is more valuable than a larger pile of incompatible labels. The sources below cover video tracking, temporal action labels, pose, model inputs and rights-aware media discovery.</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3120"/>
        <w:gridCol w:w="3120"/>
        <w:gridCol w:w="3120"/>
      </w:tblGrid>
      <w:tr>
        <w:trPr>
          <w:tblHeader w:val="true"/>
        </w:trPr>
        <w:tc>
          <w:tcPr>
            <w:tcW w:type="dxa" w:w="2880"/>
            <w:shd w:fill="E8EEF5"/>
            <w:tcMar>
              <w:top w:w="80" w:type="dxa"/>
              <w:start w:w="120" w:type="dxa"/>
              <w:bottom w:w="80" w:type="dxa"/>
              <w:end w:w="120" w:type="dxa"/>
            </w:tcMar>
            <w:vAlign w:val="center"/>
          </w:tcPr>
          <w:p>
            <w:pPr>
              <w:spacing w:after="0"/>
            </w:pPr>
            <w:r>
              <w:rPr>
                <w:rFonts w:ascii="Calibri" w:hAnsi="Calibri" w:eastAsia="Calibri"/>
                <w:b/>
                <w:color w:val="17365D"/>
                <w:sz w:val="17"/>
              </w:rPr>
              <w:t>Documentation</w:t>
            </w:r>
          </w:p>
        </w:tc>
        <w:tc>
          <w:tcPr>
            <w:tcW w:type="dxa" w:w="2376"/>
            <w:shd w:fill="E8EEF5"/>
            <w:tcMar>
              <w:top w:w="80" w:type="dxa"/>
              <w:start w:w="120" w:type="dxa"/>
              <w:bottom w:w="80" w:type="dxa"/>
              <w:end w:w="120" w:type="dxa"/>
            </w:tcMar>
            <w:vAlign w:val="center"/>
          </w:tcPr>
          <w:p>
            <w:pPr>
              <w:spacing w:after="0"/>
            </w:pPr>
            <w:r>
              <w:rPr>
                <w:rFonts w:ascii="Calibri" w:hAnsi="Calibri" w:eastAsia="Calibri"/>
                <w:b/>
                <w:color w:val="17365D"/>
                <w:sz w:val="17"/>
              </w:rPr>
              <w:t>Function</w:t>
            </w:r>
          </w:p>
        </w:tc>
        <w:tc>
          <w:tcPr>
            <w:tcW w:type="dxa" w:w="4104"/>
            <w:shd w:fill="E8EEF5"/>
            <w:tcMar>
              <w:top w:w="80" w:type="dxa"/>
              <w:start w:w="120" w:type="dxa"/>
              <w:bottom w:w="80" w:type="dxa"/>
              <w:end w:w="120" w:type="dxa"/>
            </w:tcMar>
            <w:vAlign w:val="center"/>
          </w:tcPr>
          <w:p>
            <w:pPr>
              <w:spacing w:after="0"/>
            </w:pPr>
            <w:r>
              <w:rPr>
                <w:rFonts w:ascii="Calibri" w:hAnsi="Calibri" w:eastAsia="Calibri"/>
                <w:b/>
                <w:color w:val="17365D"/>
                <w:sz w:val="17"/>
              </w:rPr>
              <w:t>Recommended use</w:t>
            </w:r>
          </w:p>
        </w:tc>
      </w:tr>
      <w:tr>
        <w:trPr>
          <w:cantSplit w:val="true"/>
        </w:trPr>
        <w:tc>
          <w:tcPr>
            <w:tcW w:type="dxa" w:w="2880"/>
            <w:tcMar>
              <w:top w:w="80" w:type="dxa"/>
              <w:start w:w="120" w:type="dxa"/>
              <w:bottom w:w="80" w:type="dxa"/>
              <w:end w:w="120" w:type="dxa"/>
            </w:tcMar>
            <w:vAlign w:val="top"/>
          </w:tcPr>
          <w:p>
            <w:pPr>
              <w:spacing w:after="0"/>
            </w:pPr>
            <w:hyperlink r:id="rId119">
              <w:r>
                <w:rPr>
                  <w:color w:val="0563C1"/>
                  <w:u w:val="single"/>
                </w:rPr>
                <w:t>CVAT track mode</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Boxes/tracks/keyframes</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Interpolated boxer, glove, referee and ring-object tracks</w:t>
            </w:r>
          </w:p>
        </w:tc>
      </w:tr>
      <w:tr>
        <w:trPr>
          <w:cantSplit w:val="true"/>
        </w:trPr>
        <w:tc>
          <w:tcPr>
            <w:tcW w:type="dxa" w:w="2880"/>
            <w:tcMar>
              <w:top w:w="80" w:type="dxa"/>
              <w:start w:w="120" w:type="dxa"/>
              <w:bottom w:w="80" w:type="dxa"/>
              <w:end w:w="120" w:type="dxa"/>
            </w:tcMar>
            <w:vAlign w:val="top"/>
          </w:tcPr>
          <w:p>
            <w:pPr>
              <w:spacing w:after="0"/>
            </w:pPr>
            <w:hyperlink r:id="rId120">
              <w:r>
                <w:rPr>
                  <w:color w:val="0563C1"/>
                  <w:u w:val="single"/>
                </w:rPr>
                <w:t>Label Studio video tracking</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Video boxes + temporal labels</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Self-hosted review workflows for licensed broadcasts</w:t>
            </w:r>
          </w:p>
        </w:tc>
      </w:tr>
      <w:tr>
        <w:trPr>
          <w:cantSplit w:val="true"/>
        </w:trPr>
        <w:tc>
          <w:tcPr>
            <w:tcW w:type="dxa" w:w="2880"/>
            <w:tcMar>
              <w:top w:w="80" w:type="dxa"/>
              <w:start w:w="120" w:type="dxa"/>
              <w:bottom w:w="80" w:type="dxa"/>
              <w:end w:w="120" w:type="dxa"/>
            </w:tcMar>
            <w:vAlign w:val="top"/>
          </w:tcPr>
          <w:p>
            <w:pPr>
              <w:spacing w:after="0"/>
            </w:pPr>
            <w:hyperlink r:id="rId121">
              <w:r>
                <w:rPr>
                  <w:color w:val="0563C1"/>
                  <w:u w:val="single"/>
                </w:rPr>
                <w:t>MMAction2 custom datasets</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Video/action/skeleton training</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VideoDataset, AVA-style detection and PoseDataset formats</w:t>
            </w:r>
          </w:p>
        </w:tc>
      </w:tr>
      <w:tr>
        <w:trPr>
          <w:cantSplit w:val="true"/>
        </w:trPr>
        <w:tc>
          <w:tcPr>
            <w:tcW w:type="dxa" w:w="2880"/>
            <w:tcMar>
              <w:top w:w="80" w:type="dxa"/>
              <w:start w:w="120" w:type="dxa"/>
              <w:bottom w:w="80" w:type="dxa"/>
              <w:end w:w="120" w:type="dxa"/>
            </w:tcMar>
            <w:vAlign w:val="top"/>
          </w:tcPr>
          <w:p>
            <w:pPr>
              <w:spacing w:after="0"/>
            </w:pPr>
            <w:hyperlink r:id="rId122">
              <w:r>
                <w:rPr>
                  <w:color w:val="0563C1"/>
                  <w:u w:val="single"/>
                </w:rPr>
                <w:t>MMPose custom datasets</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2D/3D keypoints</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COCO-format pose labels and custom skeleton metadata</w:t>
            </w:r>
          </w:p>
        </w:tc>
      </w:tr>
      <w:tr>
        <w:trPr>
          <w:cantSplit w:val="true"/>
        </w:trPr>
        <w:tc>
          <w:tcPr>
            <w:tcW w:type="dxa" w:w="2880"/>
            <w:tcMar>
              <w:top w:w="80" w:type="dxa"/>
              <w:start w:w="120" w:type="dxa"/>
              <w:bottom w:w="80" w:type="dxa"/>
              <w:end w:w="120" w:type="dxa"/>
            </w:tcMar>
            <w:vAlign w:val="top"/>
          </w:tcPr>
          <w:p>
            <w:pPr>
              <w:spacing w:after="0"/>
            </w:pPr>
            <w:hyperlink r:id="rId123">
              <w:r>
                <w:rPr>
                  <w:color w:val="0563C1"/>
                  <w:u w:val="single"/>
                </w:rPr>
                <w:t>MediaPipe Pose Landmarker</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33-landmark inference</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Fast first-pass pose extraction; validate occlusion and stance bias</w:t>
            </w:r>
          </w:p>
        </w:tc>
      </w:tr>
      <w:tr>
        <w:trPr>
          <w:cantSplit w:val="true"/>
        </w:trPr>
        <w:tc>
          <w:tcPr>
            <w:tcW w:type="dxa" w:w="2880"/>
            <w:tcMar>
              <w:top w:w="80" w:type="dxa"/>
              <w:start w:w="120" w:type="dxa"/>
              <w:bottom w:w="80" w:type="dxa"/>
              <w:end w:w="120" w:type="dxa"/>
            </w:tcMar>
            <w:vAlign w:val="top"/>
          </w:tcPr>
          <w:p>
            <w:pPr>
              <w:spacing w:after="0"/>
            </w:pPr>
            <w:hyperlink r:id="rId124">
              <w:r>
                <w:rPr>
                  <w:color w:val="0563C1"/>
                  <w:u w:val="single"/>
                </w:rPr>
                <w:t>COCO keypoint format</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Interchange schema</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Widely supported person/keypoint JSON</w:t>
            </w:r>
          </w:p>
        </w:tc>
      </w:tr>
      <w:tr>
        <w:trPr>
          <w:cantSplit w:val="true"/>
        </w:trPr>
        <w:tc>
          <w:tcPr>
            <w:tcW w:type="dxa" w:w="2880"/>
            <w:tcMar>
              <w:top w:w="80" w:type="dxa"/>
              <w:start w:w="120" w:type="dxa"/>
              <w:bottom w:w="80" w:type="dxa"/>
              <w:end w:w="120" w:type="dxa"/>
            </w:tcMar>
            <w:vAlign w:val="top"/>
          </w:tcPr>
          <w:p>
            <w:pPr>
              <w:spacing w:after="0"/>
            </w:pPr>
            <w:hyperlink r:id="rId125">
              <w:r>
                <w:rPr>
                  <w:color w:val="0563C1"/>
                  <w:u w:val="single"/>
                </w:rPr>
                <w:t>MOTChallenge format</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Tracking evaluation</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Stable boxer/referee identities and MOT metrics</w:t>
            </w:r>
          </w:p>
        </w:tc>
      </w:tr>
      <w:tr>
        <w:trPr>
          <w:cantSplit w:val="true"/>
        </w:trPr>
        <w:tc>
          <w:tcPr>
            <w:tcW w:type="dxa" w:w="2880"/>
            <w:tcMar>
              <w:top w:w="80" w:type="dxa"/>
              <w:start w:w="120" w:type="dxa"/>
              <w:bottom w:w="80" w:type="dxa"/>
              <w:end w:w="120" w:type="dxa"/>
            </w:tcMar>
            <w:vAlign w:val="top"/>
          </w:tcPr>
          <w:p>
            <w:pPr>
              <w:spacing w:after="0"/>
            </w:pPr>
            <w:hyperlink r:id="rId126">
              <w:r>
                <w:rPr>
                  <w:color w:val="0563C1"/>
                  <w:u w:val="single"/>
                </w:rPr>
                <w:t>YouTube trainability API</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Rights signal</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Check third-party-training permission; not a download authorization</w:t>
            </w:r>
          </w:p>
        </w:tc>
      </w:tr>
      <w:tr>
        <w:trPr>
          <w:cantSplit w:val="true"/>
        </w:trPr>
        <w:tc>
          <w:tcPr>
            <w:tcW w:type="dxa" w:w="2880"/>
            <w:tcMar>
              <w:top w:w="80" w:type="dxa"/>
              <w:start w:w="120" w:type="dxa"/>
              <w:bottom w:w="80" w:type="dxa"/>
              <w:end w:w="120" w:type="dxa"/>
            </w:tcMar>
            <w:vAlign w:val="top"/>
          </w:tcPr>
          <w:p>
            <w:pPr>
              <w:spacing w:after="0"/>
            </w:pPr>
            <w:hyperlink r:id="rId127">
              <w:r>
                <w:rPr>
                  <w:color w:val="0563C1"/>
                  <w:u w:val="single"/>
                </w:rPr>
                <w:t>Wikimedia Commons reuse</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Item-level media rights</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Filter by exact license; preserve attribution/share-alike obligations</w:t>
            </w:r>
          </w:p>
        </w:tc>
      </w:tr>
      <w:tr>
        <w:trPr>
          <w:cantSplit w:val="true"/>
        </w:trPr>
        <w:tc>
          <w:tcPr>
            <w:tcW w:type="dxa" w:w="2880"/>
            <w:tcMar>
              <w:top w:w="80" w:type="dxa"/>
              <w:start w:w="120" w:type="dxa"/>
              <w:bottom w:w="80" w:type="dxa"/>
              <w:end w:w="120" w:type="dxa"/>
            </w:tcMar>
            <w:vAlign w:val="top"/>
          </w:tcPr>
          <w:p>
            <w:pPr>
              <w:spacing w:after="0"/>
            </w:pPr>
            <w:hyperlink r:id="rId128">
              <w:r>
                <w:rPr>
                  <w:color w:val="0563C1"/>
                  <w:u w:val="single"/>
                </w:rPr>
                <w:t>DVIDS API terms</w:t>
              </w:r>
            </w:hyperlink>
          </w:p>
        </w:tc>
        <w:tc>
          <w:tcPr>
            <w:tcW w:type="dxa" w:w="2376"/>
            <w:tcMar>
              <w:top w:w="80" w:type="dxa"/>
              <w:start w:w="120" w:type="dxa"/>
              <w:bottom w:w="80" w:type="dxa"/>
              <w:end w:w="120" w:type="dxa"/>
            </w:tcMar>
            <w:vAlign w:val="top"/>
          </w:tcPr>
          <w:p>
            <w:pPr>
              <w:spacing w:after="0"/>
            </w:pPr>
            <w:r>
              <w:rPr>
                <w:rFonts w:ascii="Calibri" w:hAnsi="Calibri" w:eastAsia="Calibri"/>
                <w:color w:val="1F2933"/>
                <w:sz w:val="16"/>
              </w:rPr>
              <w:t>US military media</w:t>
            </w:r>
          </w:p>
        </w:tc>
        <w:tc>
          <w:tcPr>
            <w:tcW w:type="dxa" w:w="4104"/>
            <w:tcMar>
              <w:top w:w="80" w:type="dxa"/>
              <w:start w:w="120" w:type="dxa"/>
              <w:bottom w:w="80" w:type="dxa"/>
              <w:end w:w="120" w:type="dxa"/>
            </w:tcMar>
            <w:vAlign w:val="top"/>
          </w:tcPr>
          <w:p>
            <w:pPr>
              <w:spacing w:after="0"/>
            </w:pPr>
            <w:r>
              <w:rPr>
                <w:rFonts w:ascii="Calibri" w:hAnsi="Calibri" w:eastAsia="Calibri"/>
                <w:color w:val="1F2933"/>
                <w:sz w:val="16"/>
              </w:rPr>
              <w:t>Item-level public-domain boxing/training footage where marked</w:t>
            </w:r>
          </w:p>
        </w:tc>
      </w:tr>
    </w:tbl>
    <w:p>
      <w:pPr>
        <w:spacing w:after="0"/>
      </w:pPr>
    </w:p>
    <w:p>
      <w:pPr>
        <w:pStyle w:val="Heading2"/>
      </w:pPr>
      <w:r>
        <w:t>Recommended boxing annotation schema</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4680"/>
        <w:gridCol w:w="468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eastAsia="Calibri"/>
                <w:b/>
                <w:color w:val="17365D"/>
                <w:sz w:val="17"/>
              </w:rPr>
              <w:t>Layer</w:t>
            </w:r>
          </w:p>
        </w:tc>
        <w:tc>
          <w:tcPr>
            <w:tcW w:type="dxa" w:w="7560"/>
            <w:shd w:fill="E8EEF5"/>
            <w:tcMar>
              <w:top w:w="80" w:type="dxa"/>
              <w:start w:w="120" w:type="dxa"/>
              <w:bottom w:w="80" w:type="dxa"/>
              <w:end w:w="120" w:type="dxa"/>
            </w:tcMar>
            <w:vAlign w:val="center"/>
          </w:tcPr>
          <w:p>
            <w:pPr>
              <w:spacing w:after="0"/>
            </w:pPr>
            <w:r>
              <w:rPr>
                <w:rFonts w:ascii="Calibri" w:hAnsi="Calibri" w:eastAsia="Calibri"/>
                <w:b/>
                <w:color w:val="17365D"/>
                <w:sz w:val="17"/>
              </w:rPr>
              <w:t>Minimum fields</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7"/>
              </w:rPr>
              <w:t>Asset</w:t>
            </w:r>
          </w:p>
        </w:tc>
        <w:tc>
          <w:tcPr>
            <w:tcW w:type="dxa" w:w="7560"/>
            <w:tcMar>
              <w:top w:w="80" w:type="dxa"/>
              <w:start w:w="120" w:type="dxa"/>
              <w:bottom w:w="80" w:type="dxa"/>
              <w:end w:w="120" w:type="dxa"/>
            </w:tcMar>
            <w:vAlign w:val="top"/>
          </w:tcPr>
          <w:p>
            <w:pPr>
              <w:spacing w:after="0"/>
            </w:pPr>
            <w:r>
              <w:rPr>
                <w:rFonts w:ascii="Calibri" w:hAnsi="Calibri" w:eastAsia="Calibri"/>
                <w:color w:val="1F2933"/>
                <w:sz w:val="17"/>
              </w:rPr>
              <w:t>asset_id, rights_id, bout_id, round, camera_id, fps, time base, source URI, hash</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7"/>
              </w:rPr>
              <w:t>People</w:t>
            </w:r>
          </w:p>
        </w:tc>
        <w:tc>
          <w:tcPr>
            <w:tcW w:type="dxa" w:w="7560"/>
            <w:tcMar>
              <w:top w:w="80" w:type="dxa"/>
              <w:start w:w="120" w:type="dxa"/>
              <w:bottom w:w="80" w:type="dxa"/>
              <w:end w:w="120" w:type="dxa"/>
            </w:tcMar>
            <w:vAlign w:val="top"/>
          </w:tcPr>
          <w:p>
            <w:pPr>
              <w:spacing w:after="0"/>
            </w:pPr>
            <w:r>
              <w:rPr>
                <w:rFonts w:ascii="Calibri" w:hAnsi="Calibri" w:eastAsia="Calibri"/>
                <w:color w:val="1F2933"/>
                <w:sz w:val="17"/>
              </w:rPr>
              <w:t>boxer_id, corner/color, stance, track_id, visible/occluded, referee track</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7"/>
              </w:rPr>
              <w:t>Punch event</w:t>
            </w:r>
          </w:p>
        </w:tc>
        <w:tc>
          <w:tcPr>
            <w:tcW w:type="dxa" w:w="7560"/>
            <w:tcMar>
              <w:top w:w="80" w:type="dxa"/>
              <w:start w:w="120" w:type="dxa"/>
              <w:bottom w:w="80" w:type="dxa"/>
              <w:end w:w="120" w:type="dxa"/>
            </w:tcMar>
            <w:vAlign w:val="top"/>
          </w:tcPr>
          <w:p>
            <w:pPr>
              <w:spacing w:after="0"/>
            </w:pPr>
            <w:r>
              <w:rPr>
                <w:rFonts w:ascii="Calibri" w:hAnsi="Calibri" w:eastAsia="Calibri"/>
                <w:color w:val="1F2933"/>
                <w:sz w:val="17"/>
              </w:rPr>
              <w:t>start/contact/end; lead/rear; jab/cross/hook/uppercut/other; head/body; landed/blocked/missed; confidence</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7"/>
              </w:rPr>
              <w:t>Context</w:t>
            </w:r>
          </w:p>
        </w:tc>
        <w:tc>
          <w:tcPr>
            <w:tcW w:type="dxa" w:w="7560"/>
            <w:tcMar>
              <w:top w:w="80" w:type="dxa"/>
              <w:start w:w="120" w:type="dxa"/>
              <w:bottom w:w="80" w:type="dxa"/>
              <w:end w:w="120" w:type="dxa"/>
            </w:tcMar>
            <w:vAlign w:val="top"/>
          </w:tcPr>
          <w:p>
            <w:pPr>
              <w:spacing w:after="0"/>
            </w:pPr>
            <w:r>
              <w:rPr>
                <w:rFonts w:ascii="Calibri" w:hAnsi="Calibri" w:eastAsia="Calibri"/>
                <w:color w:val="1F2933"/>
                <w:sz w:val="17"/>
              </w:rPr>
              <w:t>range (long/mid/close), ring zone, opponent state, clinch, knockdown, foul, stoppage, replay flag</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7"/>
              </w:rPr>
              <w:t>Pose/sensors</w:t>
            </w:r>
          </w:p>
        </w:tc>
        <w:tc>
          <w:tcPr>
            <w:tcW w:type="dxa" w:w="7560"/>
            <w:tcMar>
              <w:top w:w="80" w:type="dxa"/>
              <w:start w:w="120" w:type="dxa"/>
              <w:bottom w:w="80" w:type="dxa"/>
              <w:end w:w="120" w:type="dxa"/>
            </w:tcMar>
            <w:vAlign w:val="top"/>
          </w:tcPr>
          <w:p>
            <w:pPr>
              <w:spacing w:after="0"/>
            </w:pPr>
            <w:r>
              <w:rPr>
                <w:rFonts w:ascii="Calibri" w:hAnsi="Calibri" w:eastAsia="Calibri"/>
                <w:color w:val="1F2933"/>
                <w:sz w:val="17"/>
              </w:rPr>
              <w:t>keypoint schema/version; device/site; sampling rate; clock offset; calibration; missingness</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7"/>
              </w:rPr>
              <w:t>Outcome</w:t>
            </w:r>
          </w:p>
        </w:tc>
        <w:tc>
          <w:tcPr>
            <w:tcW w:type="dxa" w:w="7560"/>
            <w:tcMar>
              <w:top w:w="80" w:type="dxa"/>
              <w:start w:w="120" w:type="dxa"/>
              <w:bottom w:w="80" w:type="dxa"/>
              <w:end w:w="120" w:type="dxa"/>
            </w:tcMar>
            <w:vAlign w:val="top"/>
          </w:tcPr>
          <w:p>
            <w:pPr>
              <w:spacing w:after="0"/>
            </w:pPr>
            <w:r>
              <w:rPr>
                <w:rFonts w:ascii="Calibri" w:hAnsi="Calibri" w:eastAsia="Calibri"/>
                <w:color w:val="1F2933"/>
                <w:sz w:val="17"/>
              </w:rPr>
              <w:t>round scores by judge, deductions, decision code, official result, rule-set version</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7"/>
              </w:rPr>
              <w:t>Safety</w:t>
            </w:r>
          </w:p>
        </w:tc>
        <w:tc>
          <w:tcPr>
            <w:tcW w:type="dxa" w:w="7560"/>
            <w:tcMar>
              <w:top w:w="80" w:type="dxa"/>
              <w:start w:w="120" w:type="dxa"/>
              <w:bottom w:w="80" w:type="dxa"/>
              <w:end w:w="120" w:type="dxa"/>
            </w:tcMar>
            <w:vAlign w:val="top"/>
          </w:tcPr>
          <w:p>
            <w:pPr>
              <w:spacing w:after="0"/>
            </w:pPr>
            <w:r>
              <w:rPr>
                <w:rFonts w:ascii="Calibri" w:hAnsi="Calibri" w:eastAsia="Calibri"/>
                <w:color w:val="1F2933"/>
                <w:sz w:val="17"/>
              </w:rPr>
              <w:t>deidentified event flags only unless governed by consent/IRB/DUA; never infer a clinical diagnosis from video alone</w:t>
            </w:r>
          </w:p>
        </w:tc>
      </w:tr>
    </w:tbl>
    <w:p>
      <w:pPr>
        <w:spacing w:after="0"/>
      </w:pPr>
    </w:p>
    <w:p>
      <w:pPr>
        <w:pStyle w:val="Heading1"/>
      </w:pPr>
      <w:r>
        <w:t>8. Recommended training and evaluation plan</w:t>
      </w:r>
    </w:p>
    <w:p>
      <w:pPr>
        <w:pStyle w:val="Heading2"/>
      </w:pPr>
      <w:r>
        <w:t>A. Choose the product target before the data</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2340"/>
        <w:gridCol w:w="2340"/>
        <w:gridCol w:w="2340"/>
        <w:gridCol w:w="2340"/>
      </w:tblGrid>
      <w:tr>
        <w:trPr>
          <w:tblHeader w:val="true"/>
        </w:trPr>
        <w:tc>
          <w:tcPr>
            <w:tcW w:type="dxa" w:w="1800"/>
            <w:shd w:fill="E8EEF5"/>
            <w:tcMar>
              <w:top w:w="80" w:type="dxa"/>
              <w:start w:w="120" w:type="dxa"/>
              <w:bottom w:w="80" w:type="dxa"/>
              <w:end w:w="120" w:type="dxa"/>
            </w:tcMar>
            <w:vAlign w:val="center"/>
          </w:tcPr>
          <w:p>
            <w:pPr>
              <w:spacing w:after="0"/>
            </w:pPr>
            <w:r>
              <w:rPr>
                <w:rFonts w:ascii="Calibri" w:hAnsi="Calibri" w:eastAsia="Calibri"/>
                <w:b/>
                <w:color w:val="17365D"/>
                <w:sz w:val="17"/>
              </w:rPr>
              <w:t>Product</w:t>
            </w:r>
          </w:p>
        </w:tc>
        <w:tc>
          <w:tcPr>
            <w:tcW w:type="dxa" w:w="2520"/>
            <w:shd w:fill="E8EEF5"/>
            <w:tcMar>
              <w:top w:w="80" w:type="dxa"/>
              <w:start w:w="120" w:type="dxa"/>
              <w:bottom w:w="80" w:type="dxa"/>
              <w:end w:w="120" w:type="dxa"/>
            </w:tcMar>
            <w:vAlign w:val="center"/>
          </w:tcPr>
          <w:p>
            <w:pPr>
              <w:spacing w:after="0"/>
            </w:pPr>
            <w:r>
              <w:rPr>
                <w:rFonts w:ascii="Calibri" w:hAnsi="Calibri" w:eastAsia="Calibri"/>
                <w:b/>
                <w:color w:val="17365D"/>
                <w:sz w:val="17"/>
              </w:rPr>
              <w:t>Data backbone</w:t>
            </w:r>
          </w:p>
        </w:tc>
        <w:tc>
          <w:tcPr>
            <w:tcW w:type="dxa" w:w="2952"/>
            <w:shd w:fill="E8EEF5"/>
            <w:tcMar>
              <w:top w:w="80" w:type="dxa"/>
              <w:start w:w="120" w:type="dxa"/>
              <w:bottom w:w="80" w:type="dxa"/>
              <w:end w:w="120" w:type="dxa"/>
            </w:tcMar>
            <w:vAlign w:val="center"/>
          </w:tcPr>
          <w:p>
            <w:pPr>
              <w:spacing w:after="0"/>
            </w:pPr>
            <w:r>
              <w:rPr>
                <w:rFonts w:ascii="Calibri" w:hAnsi="Calibri" w:eastAsia="Calibri"/>
                <w:b/>
                <w:color w:val="17365D"/>
                <w:sz w:val="17"/>
              </w:rPr>
              <w:t>Labels</w:t>
            </w:r>
          </w:p>
        </w:tc>
        <w:tc>
          <w:tcPr>
            <w:tcW w:type="dxa" w:w="2088"/>
            <w:shd w:fill="E8EEF5"/>
            <w:tcMar>
              <w:top w:w="80" w:type="dxa"/>
              <w:start w:w="120" w:type="dxa"/>
              <w:bottom w:w="80" w:type="dxa"/>
              <w:end w:w="120" w:type="dxa"/>
            </w:tcMar>
            <w:vAlign w:val="center"/>
          </w:tcPr>
          <w:p>
            <w:pPr>
              <w:spacing w:after="0"/>
            </w:pPr>
            <w:r>
              <w:rPr>
                <w:rFonts w:ascii="Calibri" w:hAnsi="Calibri" w:eastAsia="Calibri"/>
                <w:b/>
                <w:color w:val="17365D"/>
                <w:sz w:val="17"/>
              </w:rPr>
              <w:t>Model family</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6"/>
              </w:rPr>
              <w:t>Gym punch coach</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6"/>
              </w:rPr>
              <w:t>First-party phone/video + wrist IMU</w:t>
            </w:r>
          </w:p>
        </w:tc>
        <w:tc>
          <w:tcPr>
            <w:tcW w:type="dxa" w:w="2952"/>
            <w:tcMar>
              <w:top w:w="80" w:type="dxa"/>
              <w:start w:w="120" w:type="dxa"/>
              <w:bottom w:w="80" w:type="dxa"/>
              <w:end w:w="120" w:type="dxa"/>
            </w:tcMar>
            <w:vAlign w:val="top"/>
          </w:tcPr>
          <w:p>
            <w:pPr>
              <w:spacing w:after="0"/>
            </w:pPr>
            <w:r>
              <w:rPr>
                <w:rFonts w:ascii="Calibri" w:hAnsi="Calibri" w:eastAsia="Calibri"/>
                <w:color w:val="1F2933"/>
                <w:sz w:val="16"/>
              </w:rPr>
              <w:t>Punch family, hand, form, tempo; personal calibration</w:t>
            </w:r>
          </w:p>
        </w:tc>
        <w:tc>
          <w:tcPr>
            <w:tcW w:type="dxa" w:w="2088"/>
            <w:tcMar>
              <w:top w:w="80" w:type="dxa"/>
              <w:start w:w="120" w:type="dxa"/>
              <w:bottom w:w="80" w:type="dxa"/>
              <w:end w:w="120" w:type="dxa"/>
            </w:tcMar>
            <w:vAlign w:val="top"/>
          </w:tcPr>
          <w:p>
            <w:pPr>
              <w:spacing w:after="0"/>
            </w:pPr>
            <w:r>
              <w:rPr>
                <w:rFonts w:ascii="Calibri" w:hAnsi="Calibri" w:eastAsia="Calibri"/>
                <w:color w:val="1F2933"/>
                <w:sz w:val="16"/>
              </w:rPr>
              <w:t>Pose + temporal classifier / sensor fusion</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6"/>
              </w:rPr>
              <w:t>Broadcast analytics</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6"/>
              </w:rPr>
              <w:t>Direct broadcaster/event license</w:t>
            </w:r>
          </w:p>
        </w:tc>
        <w:tc>
          <w:tcPr>
            <w:tcW w:type="dxa" w:w="2952"/>
            <w:tcMar>
              <w:top w:w="80" w:type="dxa"/>
              <w:start w:w="120" w:type="dxa"/>
              <w:bottom w:w="80" w:type="dxa"/>
              <w:end w:w="120" w:type="dxa"/>
            </w:tcMar>
            <w:vAlign w:val="top"/>
          </w:tcPr>
          <w:p>
            <w:pPr>
              <w:spacing w:after="0"/>
            </w:pPr>
            <w:r>
              <w:rPr>
                <w:rFonts w:ascii="Calibri" w:hAnsi="Calibri" w:eastAsia="Calibri"/>
                <w:color w:val="1F2933"/>
                <w:sz w:val="16"/>
              </w:rPr>
              <w:t>Tracks, punches, contact, round/score context</w:t>
            </w:r>
          </w:p>
        </w:tc>
        <w:tc>
          <w:tcPr>
            <w:tcW w:type="dxa" w:w="2088"/>
            <w:tcMar>
              <w:top w:w="80" w:type="dxa"/>
              <w:start w:w="120" w:type="dxa"/>
              <w:bottom w:w="80" w:type="dxa"/>
              <w:end w:w="120" w:type="dxa"/>
            </w:tcMar>
            <w:vAlign w:val="top"/>
          </w:tcPr>
          <w:p>
            <w:pPr>
              <w:spacing w:after="0"/>
            </w:pPr>
            <w:r>
              <w:rPr>
                <w:rFonts w:ascii="Calibri" w:hAnsi="Calibri" w:eastAsia="Calibri"/>
                <w:color w:val="1F2933"/>
                <w:sz w:val="16"/>
              </w:rPr>
              <w:t>Detector + tracker + temporal event model</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6"/>
              </w:rPr>
              <w:t>Commentary system</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6"/>
              </w:rPr>
              <w:t>Licensed bout video + BoxComm-style annotations</w:t>
            </w:r>
          </w:p>
        </w:tc>
        <w:tc>
          <w:tcPr>
            <w:tcW w:type="dxa" w:w="2952"/>
            <w:tcMar>
              <w:top w:w="80" w:type="dxa"/>
              <w:start w:w="120" w:type="dxa"/>
              <w:bottom w:w="80" w:type="dxa"/>
              <w:end w:w="120" w:type="dxa"/>
            </w:tcMar>
            <w:vAlign w:val="top"/>
          </w:tcPr>
          <w:p>
            <w:pPr>
              <w:spacing w:after="0"/>
            </w:pPr>
            <w:r>
              <w:rPr>
                <w:rFonts w:ascii="Calibri" w:hAnsi="Calibri" w:eastAsia="Calibri"/>
                <w:color w:val="1F2933"/>
                <w:sz w:val="16"/>
              </w:rPr>
              <w:t>Play-by-play, tactical and contextual sentences</w:t>
            </w:r>
          </w:p>
        </w:tc>
        <w:tc>
          <w:tcPr>
            <w:tcW w:type="dxa" w:w="2088"/>
            <w:tcMar>
              <w:top w:w="80" w:type="dxa"/>
              <w:start w:w="120" w:type="dxa"/>
              <w:bottom w:w="80" w:type="dxa"/>
              <w:end w:w="120" w:type="dxa"/>
            </w:tcMar>
            <w:vAlign w:val="top"/>
          </w:tcPr>
          <w:p>
            <w:pPr>
              <w:spacing w:after="0"/>
            </w:pPr>
            <w:r>
              <w:rPr>
                <w:rFonts w:ascii="Calibri" w:hAnsi="Calibri" w:eastAsia="Calibri"/>
                <w:color w:val="1F2933"/>
                <w:sz w:val="16"/>
              </w:rPr>
              <w:t>Video-language model with grounded events</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6"/>
              </w:rPr>
              <w:t>Impact / biomechanics</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6"/>
              </w:rPr>
              <w:t>CC BY lab sensors + new calibrated cohort</w:t>
            </w:r>
          </w:p>
        </w:tc>
        <w:tc>
          <w:tcPr>
            <w:tcW w:type="dxa" w:w="2952"/>
            <w:tcMar>
              <w:top w:w="80" w:type="dxa"/>
              <w:start w:w="120" w:type="dxa"/>
              <w:bottom w:w="80" w:type="dxa"/>
              <w:end w:w="120" w:type="dxa"/>
            </w:tcMar>
            <w:vAlign w:val="top"/>
          </w:tcPr>
          <w:p>
            <w:pPr>
              <w:spacing w:after="0"/>
            </w:pPr>
            <w:r>
              <w:rPr>
                <w:rFonts w:ascii="Calibri" w:hAnsi="Calibri" w:eastAsia="Calibri"/>
                <w:color w:val="1F2933"/>
                <w:sz w:val="16"/>
              </w:rPr>
              <w:t>Force, impulse, stance, participant/device metadata</w:t>
            </w:r>
          </w:p>
        </w:tc>
        <w:tc>
          <w:tcPr>
            <w:tcW w:type="dxa" w:w="2088"/>
            <w:tcMar>
              <w:top w:w="80" w:type="dxa"/>
              <w:start w:w="120" w:type="dxa"/>
              <w:bottom w:w="80" w:type="dxa"/>
              <w:end w:w="120" w:type="dxa"/>
            </w:tcMar>
            <w:vAlign w:val="top"/>
          </w:tcPr>
          <w:p>
            <w:pPr>
              <w:spacing w:after="0"/>
            </w:pPr>
            <w:r>
              <w:rPr>
                <w:rFonts w:ascii="Calibri" w:hAnsi="Calibri" w:eastAsia="Calibri"/>
                <w:color w:val="1F2933"/>
                <w:sz w:val="16"/>
              </w:rPr>
              <w:t>Physics-informed regression + uncertainty</w:t>
            </w:r>
          </w:p>
        </w:tc>
      </w:tr>
      <w:tr>
        <w:trPr>
          <w:cantSplit w:val="true"/>
        </w:trPr>
        <w:tc>
          <w:tcPr>
            <w:tcW w:type="dxa" w:w="1800"/>
            <w:tcMar>
              <w:top w:w="80" w:type="dxa"/>
              <w:start w:w="120" w:type="dxa"/>
              <w:bottom w:w="80" w:type="dxa"/>
              <w:end w:w="120" w:type="dxa"/>
            </w:tcMar>
            <w:vAlign w:val="top"/>
          </w:tcPr>
          <w:p>
            <w:pPr>
              <w:spacing w:after="0"/>
            </w:pPr>
            <w:r>
              <w:rPr>
                <w:rFonts w:ascii="Calibri" w:hAnsi="Calibri" w:eastAsia="Calibri"/>
                <w:color w:val="1F2933"/>
                <w:sz w:val="16"/>
              </w:rPr>
              <w:t>Bout outcome</w:t>
            </w:r>
          </w:p>
        </w:tc>
        <w:tc>
          <w:tcPr>
            <w:tcW w:type="dxa" w:w="2520"/>
            <w:tcMar>
              <w:top w:w="80" w:type="dxa"/>
              <w:start w:w="120" w:type="dxa"/>
              <w:bottom w:w="80" w:type="dxa"/>
              <w:end w:w="120" w:type="dxa"/>
            </w:tcMar>
            <w:vAlign w:val="top"/>
          </w:tcPr>
          <w:p>
            <w:pPr>
              <w:spacing w:after="0"/>
            </w:pPr>
            <w:r>
              <w:rPr>
                <w:rFonts w:ascii="Calibri" w:hAnsi="Calibri" w:eastAsia="Calibri"/>
                <w:color w:val="1F2933"/>
                <w:sz w:val="16"/>
              </w:rPr>
              <w:t>Open Boxing/Mendeley + time-stamped licensed records</w:t>
            </w:r>
          </w:p>
        </w:tc>
        <w:tc>
          <w:tcPr>
            <w:tcW w:type="dxa" w:w="2952"/>
            <w:tcMar>
              <w:top w:w="80" w:type="dxa"/>
              <w:start w:w="120" w:type="dxa"/>
              <w:bottom w:w="80" w:type="dxa"/>
              <w:end w:w="120" w:type="dxa"/>
            </w:tcMar>
            <w:vAlign w:val="top"/>
          </w:tcPr>
          <w:p>
            <w:pPr>
              <w:spacing w:after="0"/>
            </w:pPr>
            <w:r>
              <w:rPr>
                <w:rFonts w:ascii="Calibri" w:hAnsi="Calibri" w:eastAsia="Calibri"/>
                <w:color w:val="1F2933"/>
                <w:sz w:val="16"/>
              </w:rPr>
              <w:t>Pre-bout-only record, age, stance, division, activity</w:t>
            </w:r>
          </w:p>
        </w:tc>
        <w:tc>
          <w:tcPr>
            <w:tcW w:type="dxa" w:w="2088"/>
            <w:tcMar>
              <w:top w:w="80" w:type="dxa"/>
              <w:start w:w="120" w:type="dxa"/>
              <w:bottom w:w="80" w:type="dxa"/>
              <w:end w:w="120" w:type="dxa"/>
            </w:tcMar>
            <w:vAlign w:val="top"/>
          </w:tcPr>
          <w:p>
            <w:pPr>
              <w:spacing w:after="0"/>
            </w:pPr>
            <w:r>
              <w:rPr>
                <w:rFonts w:ascii="Calibri" w:hAnsi="Calibri" w:eastAsia="Calibri"/>
                <w:color w:val="1F2933"/>
                <w:sz w:val="16"/>
              </w:rPr>
              <w:t>Temporal tabular/graph model</w:t>
            </w:r>
          </w:p>
        </w:tc>
      </w:tr>
    </w:tbl>
    <w:p>
      <w:pPr>
        <w:spacing w:after="0"/>
      </w:pPr>
    </w:p>
    <w:p>
      <w:pPr>
        <w:pStyle w:val="Heading2"/>
      </w:pPr>
      <w:r>
        <w:t>B. Split to match deployment</w:t>
      </w:r>
    </w:p>
    <w:p>
      <w:pPr>
        <w:pStyle w:val="ListBullet"/>
      </w:pPr>
      <w:r>
        <w:t>Hold out boxers, bouts and venues—not random frames. For sensors, hold out participants and preferably a device/session as well.</w:t>
      </w:r>
    </w:p>
    <w:p>
      <w:pPr>
        <w:pStyle w:val="ListBullet"/>
      </w:pPr>
      <w:r>
        <w:t>Keep every derivative clip, frame and augmentation from one source video in the same partition.</w:t>
      </w:r>
    </w:p>
    <w:p>
      <w:pPr>
        <w:pStyle w:val="ListBullet"/>
      </w:pPr>
      <w:r>
        <w:t>Use a chronological test for rankings/outcomes. Freeze the feature timestamp at bout announcement or weigh-in to prevent future-record leakage.</w:t>
      </w:r>
    </w:p>
    <w:p>
      <w:pPr>
        <w:pStyle w:val="ListBullet"/>
      </w:pPr>
      <w:r>
        <w:t>Report performance separately by gender, skin tone/lighting, stance, weight class, camera angle, occlusion, experience and left/right hand where sample sizes permit.</w:t>
      </w:r>
    </w:p>
    <w:p>
      <w:pPr>
        <w:pStyle w:val="Heading2"/>
      </w:pPr>
      <w:r>
        <w:t>C. Measure the right thing</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4680"/>
        <w:gridCol w:w="4680"/>
      </w:tblGrid>
      <w:tr>
        <w:trPr>
          <w:tblHeader w:val="true"/>
        </w:trPr>
        <w:tc>
          <w:tcPr>
            <w:tcW w:type="dxa" w:w="2376"/>
            <w:shd w:fill="E8EEF5"/>
            <w:tcMar>
              <w:top w:w="80" w:type="dxa"/>
              <w:start w:w="120" w:type="dxa"/>
              <w:bottom w:w="80" w:type="dxa"/>
              <w:end w:w="120" w:type="dxa"/>
            </w:tcMar>
            <w:vAlign w:val="center"/>
          </w:tcPr>
          <w:p>
            <w:pPr>
              <w:spacing w:after="0"/>
            </w:pPr>
            <w:r>
              <w:rPr>
                <w:rFonts w:ascii="Calibri" w:hAnsi="Calibri" w:eastAsia="Calibri"/>
                <w:b/>
                <w:color w:val="17365D"/>
                <w:sz w:val="17"/>
              </w:rPr>
              <w:t>Task</w:t>
            </w:r>
          </w:p>
        </w:tc>
        <w:tc>
          <w:tcPr>
            <w:tcW w:type="dxa" w:w="6984"/>
            <w:shd w:fill="E8EEF5"/>
            <w:tcMar>
              <w:top w:w="80" w:type="dxa"/>
              <w:start w:w="120" w:type="dxa"/>
              <w:bottom w:w="80" w:type="dxa"/>
              <w:end w:w="120" w:type="dxa"/>
            </w:tcMar>
            <w:vAlign w:val="center"/>
          </w:tcPr>
          <w:p>
            <w:pPr>
              <w:spacing w:after="0"/>
            </w:pPr>
            <w:r>
              <w:rPr>
                <w:rFonts w:ascii="Calibri" w:hAnsi="Calibri" w:eastAsia="Calibri"/>
                <w:b/>
                <w:color w:val="17365D"/>
                <w:sz w:val="17"/>
              </w:rPr>
              <w:t>Primary metrics</w:t>
            </w:r>
          </w:p>
        </w:tc>
      </w:tr>
      <w:tr>
        <w:trPr>
          <w:cantSplit w:val="true"/>
        </w:trPr>
        <w:tc>
          <w:tcPr>
            <w:tcW w:type="dxa" w:w="2376"/>
            <w:tcMar>
              <w:top w:w="80" w:type="dxa"/>
              <w:start w:w="120" w:type="dxa"/>
              <w:bottom w:w="80" w:type="dxa"/>
              <w:end w:w="120" w:type="dxa"/>
            </w:tcMar>
            <w:vAlign w:val="top"/>
          </w:tcPr>
          <w:p>
            <w:pPr>
              <w:spacing w:after="0"/>
            </w:pPr>
            <w:r>
              <w:rPr>
                <w:rFonts w:ascii="Calibri" w:hAnsi="Calibri" w:eastAsia="Calibri"/>
                <w:color w:val="1F2933"/>
                <w:sz w:val="16"/>
              </w:rPr>
              <w:t>Punch event detection</w:t>
            </w:r>
          </w:p>
        </w:tc>
        <w:tc>
          <w:tcPr>
            <w:tcW w:type="dxa" w:w="6984"/>
            <w:tcMar>
              <w:top w:w="80" w:type="dxa"/>
              <w:start w:w="120" w:type="dxa"/>
              <w:bottom w:w="80" w:type="dxa"/>
              <w:end w:w="120" w:type="dxa"/>
            </w:tcMar>
            <w:vAlign w:val="top"/>
          </w:tcPr>
          <w:p>
            <w:pPr>
              <w:spacing w:after="0"/>
            </w:pPr>
            <w:r>
              <w:rPr>
                <w:rFonts w:ascii="Calibri" w:hAnsi="Calibri" w:eastAsia="Calibri"/>
                <w:color w:val="1F2933"/>
                <w:sz w:val="16"/>
              </w:rPr>
              <w:t>mAP at temporal IoU, event F1 with tolerance windows, onset/contact timing error</w:t>
            </w:r>
          </w:p>
        </w:tc>
      </w:tr>
      <w:tr>
        <w:trPr>
          <w:cantSplit w:val="true"/>
        </w:trPr>
        <w:tc>
          <w:tcPr>
            <w:tcW w:type="dxa" w:w="2376"/>
            <w:tcMar>
              <w:top w:w="80" w:type="dxa"/>
              <w:start w:w="120" w:type="dxa"/>
              <w:bottom w:w="80" w:type="dxa"/>
              <w:end w:w="120" w:type="dxa"/>
            </w:tcMar>
            <w:vAlign w:val="top"/>
          </w:tcPr>
          <w:p>
            <w:pPr>
              <w:spacing w:after="0"/>
            </w:pPr>
            <w:r>
              <w:rPr>
                <w:rFonts w:ascii="Calibri" w:hAnsi="Calibri" w:eastAsia="Calibri"/>
                <w:color w:val="1F2933"/>
                <w:sz w:val="16"/>
              </w:rPr>
              <w:t>Punch classification</w:t>
            </w:r>
          </w:p>
        </w:tc>
        <w:tc>
          <w:tcPr>
            <w:tcW w:type="dxa" w:w="6984"/>
            <w:tcMar>
              <w:top w:w="80" w:type="dxa"/>
              <w:start w:w="120" w:type="dxa"/>
              <w:bottom w:w="80" w:type="dxa"/>
              <w:end w:w="120" w:type="dxa"/>
            </w:tcMar>
            <w:vAlign w:val="top"/>
          </w:tcPr>
          <w:p>
            <w:pPr>
              <w:spacing w:after="0"/>
            </w:pPr>
            <w:r>
              <w:rPr>
                <w:rFonts w:ascii="Calibri" w:hAnsi="Calibri" w:eastAsia="Calibri"/>
                <w:color w:val="1F2933"/>
                <w:sz w:val="16"/>
              </w:rPr>
              <w:t>Macro-F1, balanced accuracy, per-class recall, confusion by hand/target</w:t>
            </w:r>
          </w:p>
        </w:tc>
      </w:tr>
      <w:tr>
        <w:trPr>
          <w:cantSplit w:val="true"/>
        </w:trPr>
        <w:tc>
          <w:tcPr>
            <w:tcW w:type="dxa" w:w="2376"/>
            <w:tcMar>
              <w:top w:w="80" w:type="dxa"/>
              <w:start w:w="120" w:type="dxa"/>
              <w:bottom w:w="80" w:type="dxa"/>
              <w:end w:w="120" w:type="dxa"/>
            </w:tcMar>
            <w:vAlign w:val="top"/>
          </w:tcPr>
          <w:p>
            <w:pPr>
              <w:spacing w:after="0"/>
            </w:pPr>
            <w:r>
              <w:rPr>
                <w:rFonts w:ascii="Calibri" w:hAnsi="Calibri" w:eastAsia="Calibri"/>
                <w:color w:val="1F2933"/>
                <w:sz w:val="16"/>
              </w:rPr>
              <w:t>Tracking</w:t>
            </w:r>
          </w:p>
        </w:tc>
        <w:tc>
          <w:tcPr>
            <w:tcW w:type="dxa" w:w="6984"/>
            <w:tcMar>
              <w:top w:w="80" w:type="dxa"/>
              <w:start w:w="120" w:type="dxa"/>
              <w:bottom w:w="80" w:type="dxa"/>
              <w:end w:w="120" w:type="dxa"/>
            </w:tcMar>
            <w:vAlign w:val="top"/>
          </w:tcPr>
          <w:p>
            <w:pPr>
              <w:spacing w:after="0"/>
            </w:pPr>
            <w:r>
              <w:rPr>
                <w:rFonts w:ascii="Calibri" w:hAnsi="Calibri" w:eastAsia="Calibri"/>
                <w:color w:val="1F2933"/>
                <w:sz w:val="16"/>
              </w:rPr>
              <w:t>HOTA, IDF1, ID switches, track recall under occlusion and camera cuts</w:t>
            </w:r>
          </w:p>
        </w:tc>
      </w:tr>
      <w:tr>
        <w:trPr>
          <w:cantSplit w:val="true"/>
        </w:trPr>
        <w:tc>
          <w:tcPr>
            <w:tcW w:type="dxa" w:w="2376"/>
            <w:tcMar>
              <w:top w:w="80" w:type="dxa"/>
              <w:start w:w="120" w:type="dxa"/>
              <w:bottom w:w="80" w:type="dxa"/>
              <w:end w:w="120" w:type="dxa"/>
            </w:tcMar>
            <w:vAlign w:val="top"/>
          </w:tcPr>
          <w:p>
            <w:pPr>
              <w:spacing w:after="0"/>
            </w:pPr>
            <w:r>
              <w:rPr>
                <w:rFonts w:ascii="Calibri" w:hAnsi="Calibri" w:eastAsia="Calibri"/>
                <w:color w:val="1F2933"/>
                <w:sz w:val="16"/>
              </w:rPr>
              <w:t>Pose</w:t>
            </w:r>
          </w:p>
        </w:tc>
        <w:tc>
          <w:tcPr>
            <w:tcW w:type="dxa" w:w="6984"/>
            <w:tcMar>
              <w:top w:w="80" w:type="dxa"/>
              <w:start w:w="120" w:type="dxa"/>
              <w:bottom w:w="80" w:type="dxa"/>
              <w:end w:w="120" w:type="dxa"/>
            </w:tcMar>
            <w:vAlign w:val="top"/>
          </w:tcPr>
          <w:p>
            <w:pPr>
              <w:spacing w:after="0"/>
            </w:pPr>
            <w:r>
              <w:rPr>
                <w:rFonts w:ascii="Calibri" w:hAnsi="Calibri" w:eastAsia="Calibri"/>
                <w:color w:val="1F2933"/>
                <w:sz w:val="16"/>
              </w:rPr>
              <w:t>OKS/AP or PCK, wrist/elbow error, temporal jitter and missing-joint rate</w:t>
            </w:r>
          </w:p>
        </w:tc>
      </w:tr>
      <w:tr>
        <w:trPr>
          <w:cantSplit w:val="true"/>
        </w:trPr>
        <w:tc>
          <w:tcPr>
            <w:tcW w:type="dxa" w:w="2376"/>
            <w:tcMar>
              <w:top w:w="80" w:type="dxa"/>
              <w:start w:w="120" w:type="dxa"/>
              <w:bottom w:w="80" w:type="dxa"/>
              <w:end w:w="120" w:type="dxa"/>
            </w:tcMar>
            <w:vAlign w:val="top"/>
          </w:tcPr>
          <w:p>
            <w:pPr>
              <w:spacing w:after="0"/>
            </w:pPr>
            <w:r>
              <w:rPr>
                <w:rFonts w:ascii="Calibri" w:hAnsi="Calibri" w:eastAsia="Calibri"/>
                <w:color w:val="1F2933"/>
                <w:sz w:val="16"/>
              </w:rPr>
              <w:t>Sensors / force</w:t>
            </w:r>
          </w:p>
        </w:tc>
        <w:tc>
          <w:tcPr>
            <w:tcW w:type="dxa" w:w="6984"/>
            <w:tcMar>
              <w:top w:w="80" w:type="dxa"/>
              <w:start w:w="120" w:type="dxa"/>
              <w:bottom w:w="80" w:type="dxa"/>
              <w:end w:w="120" w:type="dxa"/>
            </w:tcMar>
            <w:vAlign w:val="top"/>
          </w:tcPr>
          <w:p>
            <w:pPr>
              <w:spacing w:after="0"/>
            </w:pPr>
            <w:r>
              <w:rPr>
                <w:rFonts w:ascii="Calibri" w:hAnsi="Calibri" w:eastAsia="Calibri"/>
                <w:color w:val="1F2933"/>
                <w:sz w:val="16"/>
              </w:rPr>
              <w:t>Participant-held-out macro-F1; MAE/RMSE; calibration curves and confidence intervals</w:t>
            </w:r>
          </w:p>
        </w:tc>
      </w:tr>
      <w:tr>
        <w:trPr>
          <w:cantSplit w:val="true"/>
        </w:trPr>
        <w:tc>
          <w:tcPr>
            <w:tcW w:type="dxa" w:w="2376"/>
            <w:tcMar>
              <w:top w:w="80" w:type="dxa"/>
              <w:start w:w="120" w:type="dxa"/>
              <w:bottom w:w="80" w:type="dxa"/>
              <w:end w:w="120" w:type="dxa"/>
            </w:tcMar>
            <w:vAlign w:val="top"/>
          </w:tcPr>
          <w:p>
            <w:pPr>
              <w:spacing w:after="0"/>
            </w:pPr>
            <w:r>
              <w:rPr>
                <w:rFonts w:ascii="Calibri" w:hAnsi="Calibri" w:eastAsia="Calibri"/>
                <w:color w:val="1F2933"/>
                <w:sz w:val="16"/>
              </w:rPr>
              <w:t>Commentary</w:t>
            </w:r>
          </w:p>
        </w:tc>
        <w:tc>
          <w:tcPr>
            <w:tcW w:type="dxa" w:w="6984"/>
            <w:tcMar>
              <w:top w:w="80" w:type="dxa"/>
              <w:start w:w="120" w:type="dxa"/>
              <w:bottom w:w="80" w:type="dxa"/>
              <w:end w:w="120" w:type="dxa"/>
            </w:tcMar>
            <w:vAlign w:val="top"/>
          </w:tcPr>
          <w:p>
            <w:pPr>
              <w:spacing w:after="0"/>
            </w:pPr>
            <w:r>
              <w:rPr>
                <w:rFonts w:ascii="Calibri" w:hAnsi="Calibri" w:eastAsia="Calibri"/>
                <w:color w:val="1F2933"/>
                <w:sz w:val="16"/>
              </w:rPr>
              <w:t>Grounded event precision/recall, timing, category compliance, factuality, expert human review</w:t>
            </w:r>
          </w:p>
        </w:tc>
      </w:tr>
      <w:tr>
        <w:trPr>
          <w:cantSplit w:val="true"/>
        </w:trPr>
        <w:tc>
          <w:tcPr>
            <w:tcW w:type="dxa" w:w="2376"/>
            <w:tcMar>
              <w:top w:w="80" w:type="dxa"/>
              <w:start w:w="120" w:type="dxa"/>
              <w:bottom w:w="80" w:type="dxa"/>
              <w:end w:w="120" w:type="dxa"/>
            </w:tcMar>
            <w:vAlign w:val="top"/>
          </w:tcPr>
          <w:p>
            <w:pPr>
              <w:spacing w:after="0"/>
            </w:pPr>
            <w:r>
              <w:rPr>
                <w:rFonts w:ascii="Calibri" w:hAnsi="Calibri" w:eastAsia="Calibri"/>
                <w:color w:val="1F2933"/>
                <w:sz w:val="16"/>
              </w:rPr>
              <w:t>Outcome models</w:t>
            </w:r>
          </w:p>
        </w:tc>
        <w:tc>
          <w:tcPr>
            <w:tcW w:type="dxa" w:w="6984"/>
            <w:tcMar>
              <w:top w:w="80" w:type="dxa"/>
              <w:start w:w="120" w:type="dxa"/>
              <w:bottom w:w="80" w:type="dxa"/>
              <w:end w:w="120" w:type="dxa"/>
            </w:tcMar>
            <w:vAlign w:val="top"/>
          </w:tcPr>
          <w:p>
            <w:pPr>
              <w:spacing w:after="0"/>
            </w:pPr>
            <w:r>
              <w:rPr>
                <w:rFonts w:ascii="Calibri" w:hAnsi="Calibri" w:eastAsia="Calibri"/>
                <w:color w:val="1F2933"/>
                <w:sz w:val="16"/>
              </w:rPr>
              <w:t>Time-split log loss/Brier, calibration, subgroup stability; compare with simple rating baselines</w:t>
            </w:r>
          </w:p>
        </w:tc>
      </w:tr>
    </w:tbl>
    <w:p>
      <w:pPr>
        <w:spacing w:after="0"/>
      </w:pPr>
    </w:p>
    <w:p>
      <w:pPr>
        <w:pStyle w:val="Heading2"/>
      </w:pPr>
      <w:r>
        <w:t>D. Provenance ledger — non-negotiable fields</w:t>
      </w:r>
    </w:p>
    <w:p>
      <w:r>
        <w:rPr>
          <w:rFonts w:ascii="Calibri" w:hAnsi="Calibri" w:eastAsia="Calibri"/>
          <w:color w:val="52606D"/>
        </w:rPr>
        <w:t>Maintain one row per asset and one row per derived artifact. At minimum record:</w:t>
      </w:r>
    </w:p>
    <w:p>
      <w:pPr>
        <w:pStyle w:val="ListBullet"/>
      </w:pPr>
      <w:r>
        <w:t>Source URL and immutable item/version ID; retrieval date; file hash; original creator and rights holder.</w:t>
      </w:r>
    </w:p>
    <w:p>
      <w:pPr>
        <w:pStyle w:val="ListBullet"/>
      </w:pPr>
      <w:r>
        <w:t>Exact license/terms version; commercial-training permission; redistribution/derivatives; attribution and share-alike obligations.</w:t>
      </w:r>
    </w:p>
    <w:p>
      <w:pPr>
        <w:pStyle w:val="ListBullet"/>
      </w:pPr>
      <w:r>
        <w:t>Consent/release, age/minor status, biometric/health flags, jurisdiction, retention and deletion requirements.</w:t>
      </w:r>
    </w:p>
    <w:p>
      <w:pPr>
        <w:pStyle w:val="ListBullet"/>
      </w:pPr>
      <w:r>
        <w:t>Transformation lineage from source video to frames, clips, pose, embeddings, labels and model weights.</w:t>
      </w:r>
    </w:p>
    <w:p>
      <w:pPr>
        <w:pStyle w:val="ListBullet"/>
      </w:pPr>
      <w:r>
        <w:t>Rule-set and annotation-guide version; annotator/reviewer IDs; disagreement/adjudication; quality sample results.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shd w:fill="FDECEC"/>
            <w:tcMar>
              <w:top w:w="130" w:type="dxa"/>
              <w:start w:w="170" w:type="dxa"/>
              <w:bottom w:w="130" w:type="dxa"/>
              <w:end w:w="170" w:type="dxa"/>
            </w:tcMar>
          </w:tcPr>
          <w:p>
            <w:pPr>
              <w:spacing w:after="40"/>
            </w:pPr>
            <w:r>
              <w:rPr>
                <w:rFonts w:ascii="Calibri" w:hAnsi="Calibri" w:eastAsia="Calibri"/>
                <w:b/>
                <w:color w:val="A33A3A"/>
                <w:sz w:val="21"/>
              </w:rPr>
              <w:t>Medical boundary</w:t>
            </w:r>
          </w:p>
          <w:p>
            <w:pPr>
              <w:spacing w:after="0"/>
            </w:pPr>
            <w:r>
              <w:rPr>
                <w:rFonts w:ascii="Calibri" w:hAnsi="Calibri" w:eastAsia="Calibri"/>
                <w:color w:val="1F2933"/>
                <w:sz w:val="19"/>
              </w:rPr>
              <w:t>No verified open dataset pairs boxing video/punch events with clinical concussion or injury diagnoses at useful scale. Treat head-impact and NEISS sources as separate research domains. A model must not diagnose or clear an athlete to return from video or wearable signals without validated clinical governance.</w:t>
            </w:r>
          </w:p>
        </w:tc>
      </w:tr>
    </w:tbl>
    <w:p>
      <w:pPr>
        <w:spacing w:after="0"/>
      </w:pPr>
    </w:p>
    <w:p>
      <w:pPr>
        <w:pStyle w:val="Heading1"/>
      </w:pPr>
      <w:r>
        <w:t>9. Audit notes and link hygiene</w:t>
      </w:r>
    </w:p>
    <w:p>
      <w:pPr>
        <w:pStyle w:val="ListBullet"/>
      </w:pPr>
      <w:r>
        <w:t>All hyperlinks were checked or corroborated against an official page, repository, dataset card, DOI record or peer-reviewed paper during the 7 August 2026 audit.</w:t>
      </w:r>
    </w:p>
    <w:p>
      <w:pPr>
        <w:pStyle w:val="ListBullet"/>
      </w:pPr>
      <w:r>
        <w:t>Counts can refer to source videos, clips, frames, annotations or generated images. The report labels the unit whenever the public source made it clear.</w:t>
      </w:r>
    </w:p>
    <w:p>
      <w:pPr>
        <w:pStyle w:val="ListBullet"/>
      </w:pPr>
      <w:r>
        <w:t>Platform metadata can change. Re-check the live license, files and access route immediately before acquisition, and archive the terms/version used for approval.</w:t>
      </w:r>
    </w:p>
    <w:p>
      <w:pPr>
        <w:pStyle w:val="ListBullet"/>
      </w:pPr>
      <w:r>
        <w:t>A missing license is not a public-domain dedication. Contact the creator or rights holder for a written license before training, redistribution or commercialization.</w:t>
      </w:r>
    </w:p>
    <w:p>
      <w:pPr>
        <w:pStyle w:val="ListBullet"/>
      </w:pPr>
      <w:r>
        <w:t>The catalog excludes boxing videogame/Atari datasets, boxer-dog images, packaging 'box' data and generic violence sets unless a source explicitly supports physical boxing ML.</w:t>
      </w:r>
    </w:p>
    <w:p>
      <w:pPr>
        <w:pStyle w:val="Heading2"/>
      </w:pPr>
      <w:r>
        <w:t>Legally safer media discovery</w:t>
      </w:r>
    </w:p>
    <w:tbl>
      <w:tblPr>
        <w:tblW w:type="auto" w:w="0"/>
        <w:jc w:val="center"/>
        <w:tblLayout w:type="fixed"/>
        <w:tblLook w:firstColumn="1" w:firstRow="1" w:lastColumn="0" w:lastRow="0" w:noHBand="0" w:noVBand="1" w:val="04A0"/>
        <w:tblBorders>
          <w:top w:val="single" w:sz="4" w:space="0" w:color="CDD5DF"/>
          <w:left w:val="single" w:sz="4" w:space="0" w:color="CDD5DF"/>
          <w:bottom w:val="single" w:sz="4" w:space="0" w:color="CDD5DF"/>
          <w:right w:val="single" w:sz="4" w:space="0" w:color="CDD5DF"/>
          <w:insideH w:val="single" w:sz="4" w:space="0" w:color="CDD5DF"/>
          <w:insideV w:val="single" w:sz="4" w:space="0" w:color="CDD5DF"/>
        </w:tblBorders>
      </w:tblPr>
      <w:tblGrid>
        <w:gridCol w:w="3120"/>
        <w:gridCol w:w="3120"/>
        <w:gridCol w:w="3120"/>
      </w:tblGrid>
      <w:tr>
        <w:trPr>
          <w:tblHeader w:val="true"/>
        </w:trPr>
        <w:tc>
          <w:tcPr>
            <w:tcW w:type="dxa" w:w="2520"/>
            <w:shd w:fill="E8EEF5"/>
            <w:tcMar>
              <w:top w:w="80" w:type="dxa"/>
              <w:start w:w="120" w:type="dxa"/>
              <w:bottom w:w="80" w:type="dxa"/>
              <w:end w:w="120" w:type="dxa"/>
            </w:tcMar>
            <w:vAlign w:val="center"/>
          </w:tcPr>
          <w:p>
            <w:pPr>
              <w:spacing w:after="0"/>
            </w:pPr>
            <w:r>
              <w:rPr>
                <w:rFonts w:ascii="Calibri" w:hAnsi="Calibri" w:eastAsia="Calibri"/>
                <w:b/>
                <w:color w:val="17365D"/>
                <w:sz w:val="17"/>
              </w:rPr>
              <w:t>Source</w:t>
            </w:r>
          </w:p>
        </w:tc>
        <w:tc>
          <w:tcPr>
            <w:tcW w:type="dxa" w:w="3024"/>
            <w:shd w:fill="E8EEF5"/>
            <w:tcMar>
              <w:top w:w="80" w:type="dxa"/>
              <w:start w:w="120" w:type="dxa"/>
              <w:bottom w:w="80" w:type="dxa"/>
              <w:end w:w="120" w:type="dxa"/>
            </w:tcMar>
            <w:vAlign w:val="center"/>
          </w:tcPr>
          <w:p>
            <w:pPr>
              <w:spacing w:after="0"/>
            </w:pPr>
            <w:r>
              <w:rPr>
                <w:rFonts w:ascii="Calibri" w:hAnsi="Calibri" w:eastAsia="Calibri"/>
                <w:b/>
                <w:color w:val="17365D"/>
                <w:sz w:val="17"/>
              </w:rPr>
              <w:t>Rights signal</w:t>
            </w:r>
          </w:p>
        </w:tc>
        <w:tc>
          <w:tcPr>
            <w:tcW w:type="dxa" w:w="3816"/>
            <w:shd w:fill="E8EEF5"/>
            <w:tcMar>
              <w:top w:w="80" w:type="dxa"/>
              <w:start w:w="120" w:type="dxa"/>
              <w:bottom w:w="80" w:type="dxa"/>
              <w:end w:w="120" w:type="dxa"/>
            </w:tcMar>
            <w:vAlign w:val="center"/>
          </w:tcPr>
          <w:p>
            <w:pPr>
              <w:spacing w:after="0"/>
            </w:pPr>
            <w:r>
              <w:rPr>
                <w:rFonts w:ascii="Calibri" w:hAnsi="Calibri" w:eastAsia="Calibri"/>
                <w:b/>
                <w:color w:val="17365D"/>
                <w:sz w:val="17"/>
              </w:rPr>
              <w:t>Caution</w:t>
            </w:r>
          </w:p>
        </w:tc>
      </w:tr>
      <w:tr>
        <w:trPr>
          <w:cantSplit w:val="true"/>
        </w:trPr>
        <w:tc>
          <w:tcPr>
            <w:tcW w:type="dxa" w:w="2520"/>
            <w:tcMar>
              <w:top w:w="80" w:type="dxa"/>
              <w:start w:w="120" w:type="dxa"/>
              <w:bottom w:w="80" w:type="dxa"/>
              <w:end w:w="120" w:type="dxa"/>
            </w:tcMar>
            <w:vAlign w:val="top"/>
          </w:tcPr>
          <w:p>
            <w:pPr>
              <w:spacing w:after="0"/>
            </w:pPr>
            <w:hyperlink r:id="rId129">
              <w:r>
                <w:rPr>
                  <w:color w:val="0563C1"/>
                  <w:u w:val="single"/>
                </w:rPr>
                <w:t>DVIDS boxing media</w:t>
              </w:r>
            </w:hyperlink>
          </w:p>
        </w:tc>
        <w:tc>
          <w:tcPr>
            <w:tcW w:type="dxa" w:w="3024"/>
            <w:tcMar>
              <w:top w:w="80" w:type="dxa"/>
              <w:start w:w="120" w:type="dxa"/>
              <w:bottom w:w="80" w:type="dxa"/>
              <w:end w:w="120" w:type="dxa"/>
            </w:tcMar>
            <w:vAlign w:val="top"/>
          </w:tcPr>
          <w:p>
            <w:pPr>
              <w:spacing w:after="0"/>
            </w:pPr>
            <w:r>
              <w:rPr>
                <w:rFonts w:ascii="Calibri" w:hAnsi="Calibri" w:eastAsia="Calibri"/>
                <w:color w:val="1F2933"/>
                <w:sz w:val="16"/>
              </w:rPr>
              <w:t>Often US-government public domain where item says so</w:t>
            </w:r>
          </w:p>
        </w:tc>
        <w:tc>
          <w:tcPr>
            <w:tcW w:type="dxa" w:w="3816"/>
            <w:tcMar>
              <w:top w:w="80" w:type="dxa"/>
              <w:start w:w="120" w:type="dxa"/>
              <w:bottom w:w="80" w:type="dxa"/>
              <w:end w:w="120" w:type="dxa"/>
            </w:tcMar>
            <w:vAlign w:val="top"/>
          </w:tcPr>
          <w:p>
            <w:pPr>
              <w:spacing w:after="0"/>
            </w:pPr>
            <w:r>
              <w:rPr>
                <w:rFonts w:ascii="Calibri" w:hAnsi="Calibri" w:eastAsia="Calibri"/>
                <w:color w:val="1F2933"/>
                <w:sz w:val="16"/>
              </w:rPr>
              <w:t>Check every item's restrictions, releases and withdrawal status; domain is military/training</w:t>
            </w:r>
          </w:p>
        </w:tc>
      </w:tr>
      <w:tr>
        <w:trPr>
          <w:cantSplit w:val="true"/>
        </w:trPr>
        <w:tc>
          <w:tcPr>
            <w:tcW w:type="dxa" w:w="2520"/>
            <w:tcMar>
              <w:top w:w="80" w:type="dxa"/>
              <w:start w:w="120" w:type="dxa"/>
              <w:bottom w:w="80" w:type="dxa"/>
              <w:end w:w="120" w:type="dxa"/>
            </w:tcMar>
            <w:vAlign w:val="top"/>
          </w:tcPr>
          <w:p>
            <w:pPr>
              <w:spacing w:after="0"/>
            </w:pPr>
            <w:hyperlink r:id="rId130">
              <w:r>
                <w:rPr>
                  <w:color w:val="0563C1"/>
                  <w:u w:val="single"/>
                </w:rPr>
                <w:t>Wikimedia Commons boxing</w:t>
              </w:r>
            </w:hyperlink>
          </w:p>
        </w:tc>
        <w:tc>
          <w:tcPr>
            <w:tcW w:type="dxa" w:w="3024"/>
            <w:tcMar>
              <w:top w:w="80" w:type="dxa"/>
              <w:start w:w="120" w:type="dxa"/>
              <w:bottom w:w="80" w:type="dxa"/>
              <w:end w:w="120" w:type="dxa"/>
            </w:tcMar>
            <w:vAlign w:val="top"/>
          </w:tcPr>
          <w:p>
            <w:pPr>
              <w:spacing w:after="0"/>
            </w:pPr>
            <w:r>
              <w:rPr>
                <w:rFonts w:ascii="Calibri" w:hAnsi="Calibri" w:eastAsia="Calibri"/>
                <w:color w:val="1F2933"/>
                <w:sz w:val="16"/>
              </w:rPr>
              <w:t>Mixed CC BY / CC BY-SA / public-domain files</w:t>
            </w:r>
          </w:p>
        </w:tc>
        <w:tc>
          <w:tcPr>
            <w:tcW w:type="dxa" w:w="3816"/>
            <w:tcMar>
              <w:top w:w="80" w:type="dxa"/>
              <w:start w:w="120" w:type="dxa"/>
              <w:bottom w:w="80" w:type="dxa"/>
              <w:end w:w="120" w:type="dxa"/>
            </w:tcMar>
            <w:vAlign w:val="top"/>
          </w:tcPr>
          <w:p>
            <w:pPr>
              <w:spacing w:after="0"/>
            </w:pPr>
            <w:r>
              <w:rPr>
                <w:rFonts w:ascii="Calibri" w:hAnsi="Calibri" w:eastAsia="Calibri"/>
                <w:color w:val="1F2933"/>
                <w:sz w:val="16"/>
              </w:rPr>
              <w:t>Filter and store item-level license/attribution; personality and trademark rights remain</w:t>
            </w:r>
          </w:p>
        </w:tc>
      </w:tr>
      <w:tr>
        <w:trPr>
          <w:cantSplit w:val="true"/>
        </w:trPr>
        <w:tc>
          <w:tcPr>
            <w:tcW w:type="dxa" w:w="2520"/>
            <w:tcMar>
              <w:top w:w="80" w:type="dxa"/>
              <w:start w:w="120" w:type="dxa"/>
              <w:bottom w:w="80" w:type="dxa"/>
              <w:end w:w="120" w:type="dxa"/>
            </w:tcMar>
            <w:vAlign w:val="top"/>
          </w:tcPr>
          <w:p>
            <w:pPr>
              <w:spacing w:after="0"/>
            </w:pPr>
            <w:hyperlink r:id="rId131">
              <w:r>
                <w:rPr>
                  <w:color w:val="0563C1"/>
                  <w:u w:val="single"/>
                </w:rPr>
                <w:t>Library of Congress films</w:t>
              </w:r>
            </w:hyperlink>
          </w:p>
        </w:tc>
        <w:tc>
          <w:tcPr>
            <w:tcW w:type="dxa" w:w="3024"/>
            <w:tcMar>
              <w:top w:w="80" w:type="dxa"/>
              <w:start w:w="120" w:type="dxa"/>
              <w:bottom w:w="80" w:type="dxa"/>
              <w:end w:w="120" w:type="dxa"/>
            </w:tcMar>
            <w:vAlign w:val="top"/>
          </w:tcPr>
          <w:p>
            <w:pPr>
              <w:spacing w:after="0"/>
            </w:pPr>
            <w:r>
              <w:rPr>
                <w:rFonts w:ascii="Calibri" w:hAnsi="Calibri" w:eastAsia="Calibri"/>
                <w:color w:val="1F2933"/>
                <w:sz w:val="16"/>
              </w:rPr>
              <w:t>Selected public-domain films</w:t>
            </w:r>
          </w:p>
        </w:tc>
        <w:tc>
          <w:tcPr>
            <w:tcW w:type="dxa" w:w="3816"/>
            <w:tcMar>
              <w:top w:w="80" w:type="dxa"/>
              <w:start w:w="120" w:type="dxa"/>
              <w:bottom w:w="80" w:type="dxa"/>
              <w:end w:w="120" w:type="dxa"/>
            </w:tcMar>
            <w:vAlign w:val="top"/>
          </w:tcPr>
          <w:p>
            <w:pPr>
              <w:spacing w:after="0"/>
            </w:pPr>
            <w:r>
              <w:rPr>
                <w:rFonts w:ascii="Calibri" w:hAnsi="Calibri" w:eastAsia="Calibri"/>
                <w:color w:val="1F2933"/>
                <w:sz w:val="16"/>
              </w:rPr>
              <w:t>Verify each item’s rights notice; historical domain shift</w:t>
            </w:r>
          </w:p>
        </w:tc>
      </w:tr>
    </w:tbl>
    <w:p>
      <w:pPr>
        <w:spacing w:after="0"/>
      </w:pPr>
    </w:p>
    <w:sectPr w:rsidR="00FC693F" w:rsidRPr="0006063C" w:rsidSect="00034616">
      <w:headerReference w:type="default" r:id="rId9"/>
      <w:footerReference w:type="default" r:id="rId10"/>
      <w:pgSz w:w="12240" w:h="15840"/>
      <w:pgMar w:top="1080" w:right="1440" w:bottom="1008"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Calibri" w:hAnsi="Calibri" w:eastAsia="Calibri"/>
        <w:color w:val="52606D"/>
        <w:sz w:val="16"/>
      </w:rPr>
      <w:t xml:space="preserve">Boxing ML Data &amp; Documentation  ·  </w:t>
    </w:r>
    <w:r>
      <w:fldChar w:fldCharType="begin"/>
      <w:instrText xml:space="preserve">PAGE</w:instrText>
      <w:fldChar w:fldCharType="separate"/>
      <w:t>1</w:t>
      <w:fldChar w:fldCharType="end"/>
    </w:r>
    <w:r>
      <w:rPr>
        <w:rFonts w:ascii="Calibri" w:hAnsi="Calibri" w:eastAsia="Calibri"/>
        <w:color w:val="52606D"/>
        <w:sz w:val="16"/>
      </w:rP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8" w:space="6" w:color="AFC6DC"/>
      </w:pBdr>
    </w:pPr>
    <w:r>
      <w:rPr>
        <w:rFonts w:ascii="Calibri" w:hAnsi="Calibri" w:eastAsia="Calibri"/>
        <w:b/>
        <w:color w:val="52606D"/>
        <w:sz w:val="16"/>
      </w:rPr>
      <w:t>BOXING ML DATA LANDSCAPE  ·  SOURCE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eastAsia="Calibri"/>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9" w:lineRule="auto"/>
    </w:pPr>
    <w:rPr>
      <w:rFonts w:ascii="Calibri" w:hAnsi="Calibri"/>
      <w:color w:val="5260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aggle.com/datasets/piotrstefaskiue/olympic-boxing-punch-classification-video-dataset" TargetMode="External"/><Relationship Id="rId12" Type="http://schemas.openxmlformats.org/officeDocument/2006/relationships/hyperlink" Target="https://www.kaggle.com/datasets/piotrstefaskiue/olympic-boxing-video-dataset-unlabeled" TargetMode="External"/><Relationship Id="rId13" Type="http://schemas.openxmlformats.org/officeDocument/2006/relationships/hyperlink" Target="https://pmc.ncbi.nlm.nih.gov/articles/PMC11353713/" TargetMode="External"/><Relationship Id="rId14" Type="http://schemas.openxmlformats.org/officeDocument/2006/relationships/hyperlink" Target="https://github.com/piotr-stefanski/boxing-fight-video-analysis" TargetMode="External"/><Relationship Id="rId15" Type="http://schemas.openxmlformats.org/officeDocument/2006/relationships/hyperlink" Target="https://github.com/gouba2333/BoxingWeb" TargetMode="External"/><Relationship Id="rId16" Type="http://schemas.openxmlformats.org/officeDocument/2006/relationships/hyperlink" Target="https://cloud.tsinghua.edu.cn/d/c435311fecda4566ae76/" TargetMode="External"/><Relationship Id="rId17" Type="http://schemas.openxmlformats.org/officeDocument/2006/relationships/hyperlink" Target="https://arxiv.org/abs/2601.11492" TargetMode="External"/><Relationship Id="rId18" Type="http://schemas.openxmlformats.org/officeDocument/2006/relationships/hyperlink" Target="https://huggingface.co/datasets/gouba2333/BoxComm-Dataset" TargetMode="External"/><Relationship Id="rId19" Type="http://schemas.openxmlformats.org/officeDocument/2006/relationships/hyperlink" Target="https://huggingface.co/datasets/gouba2333/BoxComm" TargetMode="External"/><Relationship Id="rId20" Type="http://schemas.openxmlformats.org/officeDocument/2006/relationships/hyperlink" Target="https://gouba2333.github.io/BoxComm" TargetMode="External"/><Relationship Id="rId21" Type="http://schemas.openxmlformats.org/officeDocument/2006/relationships/hyperlink" Target="https://github.com/gouba2333/BoxComm" TargetMode="External"/><Relationship Id="rId22" Type="http://schemas.openxmlformats.org/officeDocument/2006/relationships/hyperlink" Target="https://arxiv.org/abs/2604.04419" TargetMode="External"/><Relationship Id="rId23" Type="http://schemas.openxmlformats.org/officeDocument/2006/relationships/hyperlink" Target="https://zenodo.org/records/14966350" TargetMode="External"/><Relationship Id="rId24" Type="http://schemas.openxmlformats.org/officeDocument/2006/relationships/hyperlink" Target="https://zenodo.org/records/14966351" TargetMode="External"/><Relationship Id="rId25" Type="http://schemas.openxmlformats.org/officeDocument/2006/relationships/hyperlink" Target="https://data.niaid.nih.gov/resources?id=zenodo_14966350" TargetMode="External"/><Relationship Id="rId26" Type="http://schemas.openxmlformats.org/officeDocument/2006/relationships/hyperlink" Target="https://www.mdpi.com/2076-3417/15/7/4008" TargetMode="External"/><Relationship Id="rId27" Type="http://schemas.openxmlformats.org/officeDocument/2006/relationships/hyperlink" Target="https://zenodo.org/records/17186871" TargetMode="External"/><Relationship Id="rId28" Type="http://schemas.openxmlformats.org/officeDocument/2006/relationships/hyperlink" Target="https://reference-global.com/article/10.2478/bhk-2026-0003?tab=article" TargetMode="External"/><Relationship Id="rId29" Type="http://schemas.openxmlformats.org/officeDocument/2006/relationships/hyperlink" Target="https://zenodo.org/records/10729180" TargetMode="External"/><Relationship Id="rId30" Type="http://schemas.openxmlformats.org/officeDocument/2006/relationships/hyperlink" Target="https://github.com/Dareczin/boxing_biomechanics" TargetMode="External"/><Relationship Id="rId31" Type="http://schemas.openxmlformats.org/officeDocument/2006/relationships/hyperlink" Target="https://doi.org/10.3390/app14072830" TargetMode="External"/><Relationship Id="rId32" Type="http://schemas.openxmlformats.org/officeDocument/2006/relationships/hyperlink" Target="https://zenodo.org/records/14965635" TargetMode="External"/><Relationship Id="rId33" Type="http://schemas.openxmlformats.org/officeDocument/2006/relationships/hyperlink" Target="https://pmc.ncbi.nlm.nih.gov/articles/PMC12061147/" TargetMode="External"/><Relationship Id="rId34" Type="http://schemas.openxmlformats.org/officeDocument/2006/relationships/hyperlink" Target="https://github.com/xzhan96-stf/drca-mlhm" TargetMode="External"/><Relationship Id="rId35" Type="http://schemas.openxmlformats.org/officeDocument/2006/relationships/hyperlink" Target="https://pmc.ncbi.nlm.nih.gov/articles/PMC11781752/" TargetMode="External"/><Relationship Id="rId36" Type="http://schemas.openxmlformats.org/officeDocument/2006/relationships/hyperlink" Target="https://zenodo.org/records/15349809" TargetMode="External"/><Relationship Id="rId37" Type="http://schemas.openxmlformats.org/officeDocument/2006/relationships/hyperlink" Target="https://universe.roboflow.com/combatsports/combatsports-merge-attempt/dataset/2" TargetMode="External"/><Relationship Id="rId38" Type="http://schemas.openxmlformats.org/officeDocument/2006/relationships/hyperlink" Target="https://huggingface.co/datasets/NealBeans/BoxingDataset" TargetMode="External"/><Relationship Id="rId39" Type="http://schemas.openxmlformats.org/officeDocument/2006/relationships/hyperlink" Target="https://huggingface.co/datasets/NealBeans/BoxingDataset/blob/main/README.md" TargetMode="External"/><Relationship Id="rId40" Type="http://schemas.openxmlformats.org/officeDocument/2006/relationships/hyperlink" Target="https://github.com/hasanshin/punch_dataset" TargetMode="External"/><Relationship Id="rId41" Type="http://schemas.openxmlformats.org/officeDocument/2006/relationships/hyperlink" Target="https://github.com/dhanush-bhargav/mmaction2" TargetMode="External"/><Relationship Id="rId42" Type="http://schemas.openxmlformats.org/officeDocument/2006/relationships/hyperlink" Target="https://pmc.ncbi.nlm.nih.gov/articles/PMC12390462/" TargetMode="External"/><Relationship Id="rId43" Type="http://schemas.openxmlformats.org/officeDocument/2006/relationships/hyperlink" Target="https://www.mdpi.com/1424-8220/21/24/8409" TargetMode="External"/><Relationship Id="rId44" Type="http://schemas.openxmlformats.org/officeDocument/2006/relationships/hyperlink" Target="https://openreview.net/forum?id=Jq8HYNZG9s" TargetMode="External"/><Relationship Id="rId45" Type="http://schemas.openxmlformats.org/officeDocument/2006/relationships/hyperlink" Target="https://arxiv.org/abs/2412.18204" TargetMode="External"/><Relationship Id="rId46" Type="http://schemas.openxmlformats.org/officeDocument/2006/relationships/hyperlink" Target="https://arxiv.org/abs/2511.16524" TargetMode="External"/><Relationship Id="rId47" Type="http://schemas.openxmlformats.org/officeDocument/2006/relationships/hyperlink" Target="https://www.scitepress.org/Papers/2024/130184/130184.pdf" TargetMode="External"/><Relationship Id="rId48" Type="http://schemas.openxmlformats.org/officeDocument/2006/relationships/hyperlink" Target="https://arxiv.org/abs/2504.08175" TargetMode="External"/><Relationship Id="rId49" Type="http://schemas.openxmlformats.org/officeDocument/2006/relationships/hyperlink" Target="https://www.sciencedirect.com/science/article/pii/S1077314217300668" TargetMode="External"/><Relationship Id="rId50" Type="http://schemas.openxmlformats.org/officeDocument/2006/relationships/hyperlink" Target="https://arxiv.org/abs/2311.11471" TargetMode="External"/><Relationship Id="rId51" Type="http://schemas.openxmlformats.org/officeDocument/2006/relationships/hyperlink" Target="https://www.frontiersin.org/journals/neurorobotics/articles/10.3389/fnbot.2023.1148545/full" TargetMode="External"/><Relationship Id="rId52" Type="http://schemas.openxmlformats.org/officeDocument/2006/relationships/hyperlink" Target="https://arxiv.org/abs/2412.16454" TargetMode="External"/><Relationship Id="rId53" Type="http://schemas.openxmlformats.org/officeDocument/2006/relationships/hyperlink" Target="https://www.crcv.ucf.edu/research/data-sets/ucf101/" TargetMode="External"/><Relationship Id="rId54" Type="http://schemas.openxmlformats.org/officeDocument/2006/relationships/hyperlink" Target="https://www.csc.kth.se/cvap/actions/" TargetMode="External"/><Relationship Id="rId55" Type="http://schemas.openxmlformats.org/officeDocument/2006/relationships/hyperlink" Target="https://cove.thecvf.com/datasets/247" TargetMode="External"/><Relationship Id="rId56" Type="http://schemas.openxmlformats.org/officeDocument/2006/relationships/hyperlink" Target="https://rose1.ntu.edu.sg/dataset/actionRecognition/" TargetMode="External"/><Relationship Id="rId57" Type="http://schemas.openxmlformats.org/officeDocument/2006/relationships/hyperlink" Target="https://engineering.purdue.edu/RVL/Database/HumanActivity/" TargetMode="External"/><Relationship Id="rId58" Type="http://schemas.openxmlformats.org/officeDocument/2006/relationships/hyperlink" Target="https://vision.eecs.ucf.edu/data/UCF-ARG.html" TargetMode="External"/><Relationship Id="rId59" Type="http://schemas.openxmlformats.org/officeDocument/2006/relationships/hyperlink" Target="https://github.com/cvdfoundation/kinetics-dataset" TargetMode="External"/><Relationship Id="rId60" Type="http://schemas.openxmlformats.org/officeDocument/2006/relationships/hyperlink" Target="https://www.cse.ust.hk/haa/" TargetMode="External"/><Relationship Id="rId61" Type="http://schemas.openxmlformats.org/officeDocument/2006/relationships/hyperlink" Target="https://serre.lab.brown.edu/resource/hmdb-a-large-human-motion-database/" TargetMode="External"/><Relationship Id="rId62" Type="http://schemas.openxmlformats.org/officeDocument/2006/relationships/hyperlink" Target="https://doi.org/10.1109/CVPRW.2010.5543273" TargetMode="External"/><Relationship Id="rId63" Type="http://schemas.openxmlformats.org/officeDocument/2006/relationships/hyperlink" Target="https://sites.research.google/gr/ava/download/" TargetMode="External"/><Relationship Id="rId64" Type="http://schemas.openxmlformats.org/officeDocument/2006/relationships/hyperlink" Target="https://mocap.cs.cmu.edu/search.php?maincat=4&amp;subcat=8" TargetMode="External"/><Relationship Id="rId65" Type="http://schemas.openxmlformats.org/officeDocument/2006/relationships/hyperlink" Target="https://data.mendeley.com/datasets/d3dt5tb74h/1" TargetMode="External"/><Relationship Id="rId66" Type="http://schemas.openxmlformats.org/officeDocument/2006/relationships/hyperlink" Target="https://cocodataset.org/" TargetMode="External"/><Relationship Id="rId67" Type="http://schemas.openxmlformats.org/officeDocument/2006/relationships/hyperlink" Target="https://www.mpi-inf.mpg.de/de/departments/computer-vision-and-machine-learning/software-and-datasets/mpii-human-pose-dataset" TargetMode="External"/><Relationship Id="rId68" Type="http://schemas.openxmlformats.org/officeDocument/2006/relationships/hyperlink" Target="https://universe.roboflow.com/markmcquade/boxpunch-detector/dataset/19" TargetMode="External"/><Relationship Id="rId69" Type="http://schemas.openxmlformats.org/officeDocument/2006/relationships/hyperlink" Target="https://universe.roboflow.com/projectcnn/boxing-punching-detection-nv2oc/dataset/1" TargetMode="External"/><Relationship Id="rId70" Type="http://schemas.openxmlformats.org/officeDocument/2006/relationships/hyperlink" Target="https://universe.roboflow.com/tanishq-sardana-axjt1/detecting-punches-in-boxing" TargetMode="External"/><Relationship Id="rId71" Type="http://schemas.openxmlformats.org/officeDocument/2006/relationships/hyperlink" Target="https://universe.roboflow.com/opencv-aj1ab/boxing-2" TargetMode="External"/><Relationship Id="rId72" Type="http://schemas.openxmlformats.org/officeDocument/2006/relationships/hyperlink" Target="https://universe.roboflow.com/techling/boxing-r3kow/dataset/1" TargetMode="External"/><Relationship Id="rId73" Type="http://schemas.openxmlformats.org/officeDocument/2006/relationships/hyperlink" Target="https://universe.roboflow.com/boxerclassification/boxer-labelling" TargetMode="External"/><Relationship Id="rId74" Type="http://schemas.openxmlformats.org/officeDocument/2006/relationships/hyperlink" Target="https://universe.roboflow.com/sparai/spar.ai-labels-hi1ry" TargetMode="External"/><Relationship Id="rId75" Type="http://schemas.openxmlformats.org/officeDocument/2006/relationships/hyperlink" Target="https://universe.roboflow.com/boxing-game-detection/boxing-player-detection" TargetMode="External"/><Relationship Id="rId76" Type="http://schemas.openxmlformats.org/officeDocument/2006/relationships/hyperlink" Target="https://universe.roboflow.com/epf-engineering-school/project-boxing" TargetMode="External"/><Relationship Id="rId77" Type="http://schemas.openxmlformats.org/officeDocument/2006/relationships/hyperlink" Target="https://universe.roboflow.com/boxing-uuhxl/boxing-gloves-n2/dataset/1" TargetMode="External"/><Relationship Id="rId78" Type="http://schemas.openxmlformats.org/officeDocument/2006/relationships/hyperlink" Target="https://universe.roboflow.com/cougaraiworkshop/punch-detection-4ggzh" TargetMode="External"/><Relationship Id="rId79" Type="http://schemas.openxmlformats.org/officeDocument/2006/relationships/hyperlink" Target="https://universe.roboflow.com/boxing-s6q5h/boxing-project-1-mwapf/dataset/1" TargetMode="External"/><Relationship Id="rId80" Type="http://schemas.openxmlformats.org/officeDocument/2006/relationships/hyperlink" Target="https://universe.roboflow.com/georgebrown/kick-and-punch-object-detection/dataset/11" TargetMode="External"/><Relationship Id="rId81" Type="http://schemas.openxmlformats.org/officeDocument/2006/relationships/hyperlink" Target="https://www.kaggle.com/datasets/mexwell/boxing-matches" TargetMode="External"/><Relationship Id="rId82" Type="http://schemas.openxmlformats.org/officeDocument/2006/relationships/hyperlink" Target="https://www.kaggle.com/datasets/iyadelwy/boxing-matches-dataset-predict-winner" TargetMode="External"/><Relationship Id="rId83" Type="http://schemas.openxmlformats.org/officeDocument/2006/relationships/hyperlink" Target="https://www.kaggle.com/datasets/nomansiddiqui1010/professional-boxers-dataset-with-records" TargetMode="External"/><Relationship Id="rId84" Type="http://schemas.openxmlformats.org/officeDocument/2006/relationships/hyperlink" Target="https://www.kaggle.com/datasets/ziya07/sports-training-monitoring-dataset" TargetMode="External"/><Relationship Id="rId85" Type="http://schemas.openxmlformats.org/officeDocument/2006/relationships/hyperlink" Target="https://www.kaggle.com/datasets/bwandowando/boxing-twitter-dataset" TargetMode="External"/><Relationship Id="rId86" Type="http://schemas.openxmlformats.org/officeDocument/2006/relationships/hyperlink" Target="https://www.kaggle.com/datasets/mertcankarakoc/boxer-data" TargetMode="External"/><Relationship Id="rId87" Type="http://schemas.openxmlformats.org/officeDocument/2006/relationships/hyperlink" Target="https://www.kaggle.com/datasets/gpiosenka/sports-classification" TargetMode="External"/><Relationship Id="rId88" Type="http://schemas.openxmlformats.org/officeDocument/2006/relationships/hyperlink" Target="https://www.kaggle.com/datasets/sheikhzaib/sports-image-image-classification" TargetMode="External"/><Relationship Id="rId89" Type="http://schemas.openxmlformats.org/officeDocument/2006/relationships/hyperlink" Target="https://openboxing.org/data/" TargetMode="External"/><Relationship Id="rId90" Type="http://schemas.openxmlformats.org/officeDocument/2006/relationships/hyperlink" Target="https://data.mendeley.com/datasets/vpbsd5bryy/1" TargetMode="External"/><Relationship Id="rId91" Type="http://schemas.openxmlformats.org/officeDocument/2006/relationships/hyperlink" Target="https://boxing-data.com/docs/" TargetMode="External"/><Relationship Id="rId92" Type="http://schemas.openxmlformats.org/officeDocument/2006/relationships/hyperlink" Target="https://github.com/fivethirtyeight/data/tree/master/undefeated-boxers" TargetMode="External"/><Relationship Id="rId93" Type="http://schemas.openxmlformats.org/officeDocument/2006/relationships/hyperlink" Target="https://query.wikidata.org/" TargetMode="External"/><Relationship Id="rId94" Type="http://schemas.openxmlformats.org/officeDocument/2006/relationships/hyperlink" Target="https://www.olympedia.org/sports/BOX" TargetMode="External"/><Relationship Id="rId95" Type="http://schemas.openxmlformats.org/officeDocument/2006/relationships/hyperlink" Target="https://library.olympics.com/" TargetMode="External"/><Relationship Id="rId96" Type="http://schemas.openxmlformats.org/officeDocument/2006/relationships/hyperlink" Target="https://worldboxing.org/wp-content/uploads/2026/07/World-Boxing-Ranking-2026-July.pdf" TargetMode="External"/><Relationship Id="rId97" Type="http://schemas.openxmlformats.org/officeDocument/2006/relationships/hyperlink" Target="https://www.cpsc.gov/Research--Statistics/NEISS-Injury-Data" TargetMode="External"/><Relationship Id="rId98" Type="http://schemas.openxmlformats.org/officeDocument/2006/relationships/hyperlink" Target="https://fitbir.nih.gov/content/access-data" TargetMode="External"/><Relationship Id="rId99" Type="http://schemas.openxmlformats.org/officeDocument/2006/relationships/hyperlink" Target="https://boxrec.com/en/policies/terms_conditions/public" TargetMode="External"/><Relationship Id="rId100" Type="http://schemas.openxmlformats.org/officeDocument/2006/relationships/hyperlink" Target="https://www.dca.ca.gov/csac/stats_regs/" TargetMode="External"/><Relationship Id="rId101" Type="http://schemas.openxmlformats.org/officeDocument/2006/relationships/hyperlink" Target="https://boxing.nv.gov/results/2026_Results/" TargetMode="External"/><Relationship Id="rId102" Type="http://schemas.openxmlformats.org/officeDocument/2006/relationships/hyperlink" Target="https://www.pa.gov/agencies/dos/programs/state-athletic/results" TargetMode="External"/><Relationship Id="rId103" Type="http://schemas.openxmlformats.org/officeDocument/2006/relationships/hyperlink" Target="https://worldboxing.org/wp-content/uploads/2025/09/World-Boxing-Competition-Rules-Nov-2024-Approved-4.pdf" TargetMode="External"/><Relationship Id="rId104" Type="http://schemas.openxmlformats.org/officeDocument/2006/relationships/hyperlink" Target="https://worldboxing.org/wp-content/uploads/2025/08/WB-Medical-Handbook-2025.pdf" TargetMode="External"/><Relationship Id="rId105" Type="http://schemas.openxmlformats.org/officeDocument/2006/relationships/hyperlink" Target="https://worldboxing.org/competitions/" TargetMode="External"/><Relationship Id="rId106" Type="http://schemas.openxmlformats.org/officeDocument/2006/relationships/hyperlink" Target="https://www.usaboxing.org/usa-boxing-rulebook" TargetMode="External"/><Relationship Id="rId107" Type="http://schemas.openxmlformats.org/officeDocument/2006/relationships/hyperlink" Target="https://www.usaboxing.org/officials" TargetMode="External"/><Relationship Id="rId108" Type="http://schemas.openxmlformats.org/officeDocument/2006/relationships/hyperlink" Target="https://www.abcboxing.com/unified-rules-boxing/" TargetMode="External"/><Relationship Id="rId109" Type="http://schemas.openxmlformats.org/officeDocument/2006/relationships/hyperlink" Target="https://www.abcboxing.com/wp-content/uploads/2025/10/ABC-BOXING-JUDGE-MANUAL.pdf" TargetMode="External"/><Relationship Id="rId110" Type="http://schemas.openxmlformats.org/officeDocument/2006/relationships/hyperlink" Target="https://www.abcboxing.com/wp-content/uploads/2025/09/ABC-BOXING-REFEREE-MANUAL.pdf" TargetMode="External"/><Relationship Id="rId111" Type="http://schemas.openxmlformats.org/officeDocument/2006/relationships/hyperlink" Target="https://ringsidearp.org/consensus-statements/" TargetMode="External"/><Relationship Id="rId112" Type="http://schemas.openxmlformats.org/officeDocument/2006/relationships/hyperlink" Target="https://commondataelements.ninds.nih.gov/Sport-Related%20Concussion" TargetMode="External"/><Relationship Id="rId113" Type="http://schemas.openxmlformats.org/officeDocument/2006/relationships/hyperlink" Target="https://odf.olympictech.org/2024-Paris/OG/PDF/ODF_BOX_Data_Dictionary.pdf" TargetMode="External"/><Relationship Id="rId114" Type="http://schemas.openxmlformats.org/officeDocument/2006/relationships/hyperlink" Target="https://www.iba.sport/about-iba/boxing-rules/" TargetMode="External"/><Relationship Id="rId115" Type="http://schemas.openxmlformats.org/officeDocument/2006/relationships/hyperlink" Target="https://wbcboxing.com/en/rules-and-documents/" TargetMode="External"/><Relationship Id="rId116" Type="http://schemas.openxmlformats.org/officeDocument/2006/relationships/hyperlink" Target="https://www.wbaboxing.com/wba-regulations/rules-of-world-boxing-association" TargetMode="External"/><Relationship Id="rId117" Type="http://schemas.openxmlformats.org/officeDocument/2006/relationships/hyperlink" Target="https://www.ibf-usba-boxing.com/wp-content/uploads/BoutRulesUpdate2025.pdf" TargetMode="External"/><Relationship Id="rId118" Type="http://schemas.openxmlformats.org/officeDocument/2006/relationships/hyperlink" Target="https://www.wboboxing.com/wp-content/uploads/2025/04/2021-WBO-Regulations-of-World-Championship-Contests-logo.pdf" TargetMode="External"/><Relationship Id="rId119" Type="http://schemas.openxmlformats.org/officeDocument/2006/relationships/hyperlink" Target="https://docs.cvat.ai/docs/annotation/manual-annotation/modes/track-mode-basics/" TargetMode="External"/><Relationship Id="rId120" Type="http://schemas.openxmlformats.org/officeDocument/2006/relationships/hyperlink" Target="https://labelstud.io/templates/video_object_detector.html" TargetMode="External"/><Relationship Id="rId121" Type="http://schemas.openxmlformats.org/officeDocument/2006/relationships/hyperlink" Target="https://mmaction2.readthedocs.io/en/stable/advanced_guides/customize_dataset.html" TargetMode="External"/><Relationship Id="rId122" Type="http://schemas.openxmlformats.org/officeDocument/2006/relationships/hyperlink" Target="https://mmpose.readthedocs.io/en/latest/advanced_guides/customize_datasets.html" TargetMode="External"/><Relationship Id="rId123" Type="http://schemas.openxmlformats.org/officeDocument/2006/relationships/hyperlink" Target="https://developers.google.com/edge/mediapipe/solutions/vision/pose_landmarker/index" TargetMode="External"/><Relationship Id="rId124" Type="http://schemas.openxmlformats.org/officeDocument/2006/relationships/hyperlink" Target="https://cocodataset.org/#format-data" TargetMode="External"/><Relationship Id="rId125" Type="http://schemas.openxmlformats.org/officeDocument/2006/relationships/hyperlink" Target="https://motchallenge.net/instructions/" TargetMode="External"/><Relationship Id="rId126" Type="http://schemas.openxmlformats.org/officeDocument/2006/relationships/hyperlink" Target="https://developers.google.com/youtube/v3/video-trainability" TargetMode="External"/><Relationship Id="rId127" Type="http://schemas.openxmlformats.org/officeDocument/2006/relationships/hyperlink" Target="https://commons.wikimedia.org/wiki/Commons:Reusing_content_outside_Wikimedia/en" TargetMode="External"/><Relationship Id="rId128" Type="http://schemas.openxmlformats.org/officeDocument/2006/relationships/hyperlink" Target="https://api.dvidshub.net/docs/tos" TargetMode="External"/><Relationship Id="rId129" Type="http://schemas.openxmlformats.org/officeDocument/2006/relationships/hyperlink" Target="https://www.dvidshub.net/search?q=boxing" TargetMode="External"/><Relationship Id="rId130" Type="http://schemas.openxmlformats.org/officeDocument/2006/relationships/hyperlink" Target="https://commons.wikimedia.org/wiki/Category:Boxing" TargetMode="External"/><Relationship Id="rId131" Type="http://schemas.openxmlformats.org/officeDocument/2006/relationships/hyperlink" Target="https://www.loc.gov/free-to-use/public-domain-films-from-the-national-film-regi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Boxing ML Data &amp; Documentation</dc:title>
  <dc:subject>Source-linked boxing datasets and documentation for machine learning</dc:subject>
  <dc:creator>OpenAI Codex</dc:creator>
  <cp:keywords>boxing, machine learning, datasets, computer vision, biomechanics, IMU, scoring, documentation</cp:keywords>
  <dc:description>Source audit completed 7 August 2026.</dc:description>
  <cp:lastModifiedBy/>
  <cp:revision>1</cp:revision>
  <dcterms:created xsi:type="dcterms:W3CDTF">2013-12-23T23:15:00Z</dcterms:created>
  <dcterms:modified xsi:type="dcterms:W3CDTF">2013-12-23T23:15:00Z</dcterms:modified>
  <cp:category/>
</cp:coreProperties>
</file>