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a3"/>
      </w:pPr>
      <w:r>
        <w:rPr>
          <w:rFonts w:hint="eastAsia"/>
        </w:rPr>
        <w:t xml:space="preserve">売上予想 利用ガイド ver1.0 → ver1.1 変更点</w:t>
      </w:r>
    </w:p>
    <w:p>
      <w:r>
        <w:rPr>
          <w:rFonts w:hint="eastAsia"/>
        </w:rPr>
        <w:t xml:space="preserve">2026年8月27日</w:t>
      </w:r>
    </w:p>
    <w:p>
      <w:r>
        <w:rPr>
          <w:rFonts w:hint="eastAsia"/>
        </w:rPr>
        <w:t xml:space="preserve">本紙は変更点の説明用です。現在の正式な仕様は「売上予想_仕様書_ver1.1.docx」を参照してください。</w:t>
      </w:r>
    </w:p>
    <w:p>
      <w:pPr>
        <w:pStyle w:val="1"/>
      </w:pPr>
      <w:r>
        <w:rPr>
          <w:rFonts w:hint="eastAsia"/>
        </w:rPr>
        <w:t xml:space="preserve">変更は7つです</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150"/>
        <w:gridCol w:w="2345"/>
        <w:gridCol w:w="2605"/>
        <w:gridCol w:w="2404"/>
      </w:tblGrid>
      <w:tr>
        <w:trPr>
          <w:cantSplit/>
          <w:tblHeader/>
        </w:trPr>
        <w:tc>
          <w:tcPr>
            <w:tcW w:w="1150" w:type="dxa"/>
          </w:tcPr>
          <w:p>
            <w:pPr>
              <w:rPr>
                <w:b/>
              </w:rPr>
            </w:pPr>
            <w:r>
              <w:rPr>
                <w:rFonts w:hint="eastAsia"/>
                <w:b/>
              </w:rPr>
              <w:t xml:space="preserve">#</w:t>
            </w:r>
          </w:p>
        </w:tc>
        <w:tc>
          <w:tcPr>
            <w:tcW w:w="2345" w:type="dxa"/>
          </w:tcPr>
          <w:p>
            <w:pPr>
              <w:rPr>
                <w:b/>
              </w:rPr>
            </w:pPr>
            <w:r>
              <w:rPr>
                <w:rFonts w:hint="eastAsia"/>
                <w:b/>
              </w:rPr>
              <w:t xml:space="preserve">変更点</w:t>
            </w:r>
          </w:p>
        </w:tc>
        <w:tc>
          <w:tcPr>
            <w:tcW w:w="2605" w:type="dxa"/>
          </w:tcPr>
          <w:p>
            <w:pPr>
              <w:rPr>
                <w:b/>
              </w:rPr>
            </w:pPr>
            <w:r>
              <w:rPr>
                <w:rFonts w:hint="eastAsia"/>
                <w:b/>
              </w:rPr>
              <w:t xml:space="preserve">ひとことで言うと</w:t>
            </w:r>
          </w:p>
        </w:tc>
        <w:tc>
          <w:tcPr>
            <w:tcW w:w="2404" w:type="dxa"/>
          </w:tcPr>
          <w:p>
            <w:pPr>
              <w:rPr>
                <w:b/>
              </w:rPr>
            </w:pPr>
            <w:r>
              <w:rPr>
                <w:rFonts w:hint="eastAsia"/>
                <w:b/>
              </w:rPr>
              <w:t xml:space="preserve">数値への影響</w:t>
            </w:r>
          </w:p>
        </w:tc>
      </w:tr>
      <w:tr>
        <w:trPr>
          <w:cantSplit/>
        </w:trPr>
        <w:tc>
          <w:tcPr>
            <w:tcW w:w="1150" w:type="dxa"/>
          </w:tcPr>
          <w:p>
            <w:r>
              <w:rPr>
                <w:rFonts w:hint="eastAsia"/>
              </w:rPr>
              <w:t xml:space="preserve">1</w:t>
            </w:r>
          </w:p>
        </w:tc>
        <w:tc>
          <w:tcPr>
            <w:tcW w:w="2345" w:type="dxa"/>
          </w:tcPr>
          <w:p>
            <w:r>
              <w:rPr>
                <w:rFonts w:hint="eastAsia"/>
              </w:rPr>
              <w:t xml:space="preserve">算出定義を正式クエリに差し替え</w:t>
            </w:r>
          </w:p>
        </w:tc>
        <w:tc>
          <w:tcPr>
            <w:tcW w:w="2605" w:type="dxa"/>
          </w:tcPr>
          <w:p>
            <w:r>
              <w:rPr>
                <w:rFonts w:hint="eastAsia"/>
              </w:rPr>
              <w:t xml:space="preserve">手作業Excelの元になっているPRONESの個人設定クエリを、そのまま移植した</w:t>
            </w:r>
          </w:p>
        </w:tc>
        <w:tc>
          <w:tcPr>
            <w:tcW w:w="2404" w:type="dxa"/>
          </w:tcPr>
          <w:p>
            <w:r>
              <w:rPr>
                <w:rFonts w:hint="eastAsia"/>
              </w:rPr>
              <w:t xml:space="preserve">内示が月により−24%〜+1%</w:t>
            </w:r>
          </w:p>
        </w:tc>
      </w:tr>
      <w:tr>
        <w:trPr>
          <w:cantSplit/>
        </w:trPr>
        <w:tc>
          <w:tcPr>
            <w:tcW w:w="1150" w:type="dxa"/>
          </w:tcPr>
          <w:p>
            <w:r>
              <w:rPr>
                <w:rFonts w:hint="eastAsia"/>
              </w:rPr>
              <w:t xml:space="preserve">2</w:t>
            </w:r>
          </w:p>
        </w:tc>
        <w:tc>
          <w:tcPr>
            <w:tcW w:w="2345" w:type="dxa"/>
          </w:tcPr>
          <w:p>
            <w:r>
              <w:rPr>
                <w:rFonts w:hint="eastAsia"/>
              </w:rPr>
              <w:t xml:space="preserve">単価を納期の時点で解決</w:t>
            </w:r>
          </w:p>
        </w:tc>
        <w:tc>
          <w:tcPr>
            <w:tcW w:w="2605" w:type="dxa"/>
          </w:tcPr>
          <w:p>
            <w:r>
              <w:rPr>
                <w:rFonts w:hint="eastAsia"/>
              </w:rPr>
              <w:t xml:space="preserve">単価改定日をまたぐ場合に、その納期時点で有効な単価を使う</w:t>
            </w:r>
          </w:p>
        </w:tc>
        <w:tc>
          <w:tcPr>
            <w:tcW w:w="2404" w:type="dxa"/>
          </w:tcPr>
          <w:p>
            <w:r>
              <w:rPr>
                <w:rFonts w:hint="eastAsia"/>
              </w:rPr>
              <w:t xml:space="preserve">確定・内示ともわずか。Excelとの一致は改善</w:t>
            </w:r>
          </w:p>
        </w:tc>
      </w:tr>
      <w:tr>
        <w:trPr>
          <w:cantSplit/>
        </w:trPr>
        <w:tc>
          <w:tcPr>
            <w:tcW w:w="1150" w:type="dxa"/>
          </w:tcPr>
          <w:p>
            <w:r>
              <w:rPr>
                <w:rFonts w:hint="eastAsia"/>
              </w:rPr>
              <w:t xml:space="preserve">3</w:t>
            </w:r>
          </w:p>
        </w:tc>
        <w:tc>
          <w:tcPr>
            <w:tcW w:w="2345" w:type="dxa"/>
          </w:tcPr>
          <w:p>
            <w:r>
              <w:rPr>
                <w:rFonts w:hint="eastAsia"/>
              </w:rPr>
              <w:t xml:space="preserve">「見込」を追加</w:t>
            </w:r>
          </w:p>
        </w:tc>
        <w:tc>
          <w:tcPr>
            <w:tcW w:w="2605" w:type="dxa"/>
          </w:tcPr>
          <w:p>
            <w:r>
              <w:rPr>
                <w:rFonts w:hint="eastAsia"/>
              </w:rPr>
              <w:t xml:space="preserve">内示も来ていない先の月を、実績のペースで補う</w:t>
            </w:r>
          </w:p>
        </w:tc>
        <w:tc>
          <w:tcPr>
            <w:tcW w:w="2404" w:type="dxa"/>
          </w:tcPr>
          <w:p>
            <w:r>
              <w:rPr>
                <w:rFonts w:hint="eastAsia"/>
              </w:rPr>
              <w:t xml:space="preserve">先の月の合計が大きく増える</w:t>
            </w:r>
          </w:p>
        </w:tc>
      </w:tr>
      <w:tr>
        <w:trPr>
          <w:cantSplit/>
        </w:trPr>
        <w:tc>
          <w:tcPr>
            <w:tcW w:w="1150" w:type="dxa"/>
          </w:tcPr>
          <w:p>
            <w:r>
              <w:rPr>
                <w:rFonts w:hint="eastAsia"/>
              </w:rPr>
              <w:t xml:space="preserve">4</w:t>
            </w:r>
          </w:p>
        </w:tc>
        <w:tc>
          <w:tcPr>
            <w:tcW w:w="2345" w:type="dxa"/>
          </w:tcPr>
          <w:p>
            <w:r>
              <w:rPr>
                <w:rFonts w:hint="eastAsia"/>
              </w:rPr>
              <w:t xml:space="preserve">内示を最終月の前月までに限定</w:t>
            </w:r>
          </w:p>
        </w:tc>
        <w:tc>
          <w:tcPr>
            <w:tcW w:w="2605" w:type="dxa"/>
          </w:tcPr>
          <w:p>
            <w:r>
              <w:rPr>
                <w:rFonts w:hint="eastAsia"/>
              </w:rPr>
              <w:t xml:space="preserve">半端にしか入っていない最終月は、内示ではなく見込で見る</w:t>
            </w:r>
          </w:p>
        </w:tc>
        <w:tc>
          <w:tcPr>
            <w:tcW w:w="2404" w:type="dxa"/>
          </w:tcPr>
          <w:p>
            <w:r>
              <w:rPr>
                <w:rFonts w:hint="eastAsia"/>
              </w:rPr>
              <w:t xml:space="preserve">内示が月により0〜−2.2%</w:t>
            </w:r>
          </w:p>
        </w:tc>
      </w:tr>
      <w:tr>
        <w:trPr>
          <w:cantSplit/>
        </w:trPr>
        <w:tc>
          <w:tcPr>
            <w:tcW w:w="1150" w:type="dxa"/>
          </w:tcPr>
          <w:p>
            <w:r>
              <w:rPr>
                <w:rFonts w:hint="eastAsia"/>
              </w:rPr>
              <w:t xml:space="preserve">5</w:t>
            </w:r>
          </w:p>
        </w:tc>
        <w:tc>
          <w:tcPr>
            <w:tcW w:w="2345" w:type="dxa"/>
          </w:tcPr>
          <w:p>
            <w:r>
              <w:rPr>
                <w:rFonts w:hint="eastAsia"/>
              </w:rPr>
              <w:t xml:space="preserve">住友の内示を既定で除外</w:t>
            </w:r>
          </w:p>
        </w:tc>
        <w:tc>
          <w:tcPr>
            <w:tcW w:w="2605" w:type="dxa"/>
          </w:tcPr>
          <w:p>
            <w:r>
              <w:rPr>
                <w:rFonts w:hint="eastAsia"/>
              </w:rPr>
              <w:t xml:space="preserve">確定と内示が二重に立つ分を、機械的に外した</w:t>
            </w:r>
          </w:p>
        </w:tc>
        <w:tc>
          <w:tcPr>
            <w:tcW w:w="2404" w:type="dxa"/>
          </w:tcPr>
          <w:p>
            <w:r>
              <w:rPr>
                <w:rFonts w:hint="eastAsia"/>
              </w:rPr>
              <w:t xml:space="preserve">内示が月あたり最大約4,500万円減</w:t>
            </w:r>
          </w:p>
        </w:tc>
      </w:tr>
      <w:tr>
        <w:trPr>
          <w:cantSplit/>
        </w:trPr>
        <w:tc>
          <w:tcPr>
            <w:tcW w:w="1150" w:type="dxa"/>
          </w:tcPr>
          <w:p>
            <w:r>
              <w:rPr>
                <w:rFonts w:hint="eastAsia"/>
              </w:rPr>
              <w:t xml:space="preserve">6</w:t>
            </w:r>
          </w:p>
        </w:tc>
        <w:tc>
          <w:tcPr>
            <w:tcW w:w="2345" w:type="dxa"/>
          </w:tcPr>
          <w:p>
            <w:r>
              <w:rPr>
                <w:rFonts w:hint="eastAsia"/>
              </w:rPr>
              <w:t xml:space="preserve">表示期間を当年1月起点に変更</w:t>
            </w:r>
          </w:p>
        </w:tc>
        <w:tc>
          <w:tcPr>
            <w:tcW w:w="2605" w:type="dxa"/>
          </w:tcPr>
          <w:p>
            <w:r>
              <w:rPr>
                <w:rFonts w:hint="eastAsia"/>
              </w:rPr>
              <w:t xml:space="preserve">期初からの推移が見えるようにした</w:t>
            </w:r>
          </w:p>
        </w:tc>
        <w:tc>
          <w:tcPr>
            <w:tcW w:w="2404" w:type="dxa"/>
          </w:tcPr>
          <w:p>
            <w:r>
              <w:rPr>
                <w:rFonts w:hint="eastAsia"/>
              </w:rPr>
              <w:t xml:space="preserve">なし(表示範囲のみ)</w:t>
            </w:r>
          </w:p>
        </w:tc>
      </w:tr>
      <w:tr>
        <w:trPr>
          <w:cantSplit/>
        </w:trPr>
        <w:tc>
          <w:tcPr>
            <w:tcW w:w="1150" w:type="dxa"/>
          </w:tcPr>
          <w:p>
            <w:r>
              <w:rPr>
                <w:rFonts w:hint="eastAsia"/>
              </w:rPr>
              <w:t xml:space="preserve">7</w:t>
            </w:r>
          </w:p>
        </w:tc>
        <w:tc>
          <w:tcPr>
            <w:tcW w:w="2345" w:type="dxa"/>
          </w:tcPr>
          <w:p>
            <w:r>
              <w:rPr>
                <w:rFonts w:hint="eastAsia"/>
              </w:rPr>
              <w:t xml:space="preserve">得意先区分スライサーを個社まで展開可能に</w:t>
            </w:r>
          </w:p>
        </w:tc>
        <w:tc>
          <w:tcPr>
            <w:tcW w:w="2605" w:type="dxa"/>
          </w:tcPr>
          <w:p>
            <w:r>
              <w:rPr>
                <w:rFonts w:hint="eastAsia"/>
              </w:rPr>
              <w:t xml:space="preserve">区分を開いて個別の得意先を選べるようにした</w:t>
            </w:r>
          </w:p>
        </w:tc>
        <w:tc>
          <w:tcPr>
            <w:tcW w:w="2404" w:type="dxa"/>
          </w:tcPr>
          <w:p>
            <w:r>
              <w:rPr>
                <w:rFonts w:hint="eastAsia"/>
              </w:rPr>
              <w:t xml:space="preserve">なし(操作性のみ)</w:t>
            </w:r>
          </w:p>
        </w:tc>
      </w:tr>
    </w:tbl>
    <w:p/>
    <w:p>
      <w:r>
        <w:rPr>
          <w:rFonts w:hint="eastAsia"/>
        </w:rPr>
        <w:t xml:space="preserve">1・2はこれまで気付いていなかった仕様の誤りを直したもの、3〜5は業務上の判断による変更、6・7は使い勝手の改善です。</w:t>
      </w:r>
    </w:p>
    <w:p>
      <w:pPr>
        <w:pStyle w:val="1"/>
      </w:pPr>
      <w:r>
        <w:rPr>
          <w:rFonts w:hint="eastAsia"/>
        </w:rPr>
        <w:t xml:space="preserve">1. 算出定義を正式クエリに差し替え</w:t>
      </w:r>
    </w:p>
    <w:p>
      <w:r>
        <w:rPr>
          <w:rFonts w:hint="eastAsia"/>
        </w:rPr>
        <w:t xml:space="preserve">ver1.0の内示・確定は、PRONESのテーブルを見て私が組み立てた式でした。その後、手作業Excelが担当者100061のPRONES個人設定クエリ(「確定注文の売上予想」「客先別内示情報の売上予想」)の実行結果を貼って作られていることが分かったため、その定義をそのまま移植しました。</w:t>
      </w:r>
    </w:p>
    <w:p>
      <w:r>
        <w:rPr>
          <w:rFonts w:hint="eastAsia"/>
        </w:rPr>
        <w:t xml:space="preserve">ver1.0の式との違いは5点です。</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822"/>
        <w:gridCol w:w="2126"/>
        <w:gridCol w:w="4556"/>
      </w:tblGrid>
      <w:tr>
        <w:trPr>
          <w:cantSplit/>
          <w:tblHeader/>
        </w:trPr>
        <w:tc>
          <w:tcPr>
            <w:tcW w:w="1822" w:type="dxa"/>
          </w:tcPr>
          <w:p>
            <w:pPr>
              <w:rPr>
                <w:b/>
              </w:rPr>
            </w:pPr>
            <w:r>
              <w:rPr>
                <w:rFonts w:hint="eastAsia"/>
                <w:b/>
              </w:rPr>
              <w:t xml:space="preserve">項目</w:t>
            </w:r>
          </w:p>
        </w:tc>
        <w:tc>
          <w:tcPr>
            <w:tcW w:w="2126" w:type="dxa"/>
          </w:tcPr>
          <w:p>
            <w:pPr>
              <w:rPr>
                <w:b/>
              </w:rPr>
            </w:pPr>
            <w:r>
              <w:rPr>
                <w:rFonts w:hint="eastAsia"/>
                <w:b/>
              </w:rPr>
              <w:t xml:space="preserve">ver1.0(推測で組んだ式)</w:t>
            </w:r>
          </w:p>
        </w:tc>
        <w:tc>
          <w:tcPr>
            <w:tcW w:w="4556" w:type="dxa"/>
          </w:tcPr>
          <w:p>
            <w:pPr>
              <w:rPr>
                <w:b/>
              </w:rPr>
            </w:pPr>
            <w:r>
              <w:rPr>
                <w:rFonts w:hint="eastAsia"/>
                <w:b/>
              </w:rPr>
              <w:t xml:space="preserve">ver1.1(正式クエリ)</w:t>
            </w:r>
          </w:p>
        </w:tc>
      </w:tr>
      <w:tr>
        <w:trPr>
          <w:cantSplit/>
        </w:trPr>
        <w:tc>
          <w:tcPr>
            <w:tcW w:w="1822" w:type="dxa"/>
          </w:tcPr>
          <w:p>
            <w:r>
              <w:rPr>
                <w:rFonts w:hint="eastAsia"/>
              </w:rPr>
              <w:t xml:space="preserve">内示の数量</w:t>
            </w:r>
          </w:p>
        </w:tc>
        <w:tc>
          <w:tcPr>
            <w:tcW w:w="2126" w:type="dxa"/>
          </w:tcPr>
          <w:p>
            <w:r>
              <w:rPr>
                <w:rFonts w:hint="eastAsia"/>
              </w:rPr>
              <w:t xml:space="preserve">F_数量</w:t>
            </w:r>
          </w:p>
        </w:tc>
        <w:tc>
          <w:tcPr>
            <w:tcW w:w="4556" w:type="dxa"/>
          </w:tcPr>
          <w:p>
            <w:r>
              <w:rPr>
                <w:rFonts w:hint="eastAsia"/>
              </w:rPr>
              <w:t xml:space="preserve">F_数量 ＋ F_調整数</w:t>
            </w:r>
          </w:p>
        </w:tc>
      </w:tr>
      <w:tr>
        <w:trPr>
          <w:cantSplit/>
        </w:trPr>
        <w:tc>
          <w:tcPr>
            <w:tcW w:w="1822" w:type="dxa"/>
          </w:tcPr>
          <w:p>
            <w:r>
              <w:rPr>
                <w:rFonts w:hint="eastAsia"/>
              </w:rPr>
              <w:t xml:space="preserve">内示の単価結合キー</w:t>
            </w:r>
          </w:p>
        </w:tc>
        <w:tc>
          <w:tcPr>
            <w:tcW w:w="2126" w:type="dxa"/>
          </w:tcPr>
          <w:p>
            <w:r>
              <w:rPr>
                <w:rFonts w:hint="eastAsia"/>
              </w:rPr>
              <w:t xml:space="preserve">納入品目番号</w:t>
            </w:r>
          </w:p>
        </w:tc>
        <w:tc>
          <w:tcPr>
            <w:tcW w:w="4556" w:type="dxa"/>
          </w:tcPr>
          <w:p>
            <w:r>
              <w:rPr>
                <w:rFonts w:hint="eastAsia"/>
              </w:rPr>
              <w:t xml:space="preserve">在庫品目番号</w:t>
            </w:r>
          </w:p>
        </w:tc>
      </w:tr>
      <w:tr>
        <w:trPr>
          <w:cantSplit/>
        </w:trPr>
        <w:tc>
          <w:tcPr>
            <w:tcW w:w="1822" w:type="dxa"/>
          </w:tcPr>
          <w:p>
            <w:r>
              <w:rPr>
                <w:rFonts w:hint="eastAsia"/>
              </w:rPr>
              <w:t xml:space="preserve">内示の単価結合</w:t>
            </w:r>
          </w:p>
        </w:tc>
        <w:tc>
          <w:tcPr>
            <w:tcW w:w="2126" w:type="dxa"/>
          </w:tcPr>
          <w:p>
            <w:r>
              <w:rPr>
                <w:rFonts w:hint="eastAsia"/>
              </w:rPr>
              <w:t xml:space="preserve">外部結合(単価が無くても計上)</w:t>
            </w:r>
          </w:p>
        </w:tc>
        <w:tc>
          <w:tcPr>
            <w:tcW w:w="4556" w:type="dxa"/>
          </w:tcPr>
          <w:p>
            <w:r>
              <w:rPr>
                <w:rFonts w:hint="eastAsia"/>
              </w:rPr>
              <w:t xml:space="preserve">内部結合(単価が無い行は除外)</w:t>
            </w:r>
          </w:p>
        </w:tc>
      </w:tr>
      <w:tr>
        <w:trPr>
          <w:cantSplit/>
        </w:trPr>
        <w:tc>
          <w:tcPr>
            <w:tcW w:w="1822" w:type="dxa"/>
          </w:tcPr>
          <w:p>
            <w:r>
              <w:rPr>
                <w:rFonts w:hint="eastAsia"/>
              </w:rPr>
              <w:t xml:space="preserve">各マスタとの結合</w:t>
            </w:r>
          </w:p>
        </w:tc>
        <w:tc>
          <w:tcPr>
            <w:tcW w:w="2126" w:type="dxa"/>
          </w:tcPr>
          <w:p>
            <w:r>
              <w:rPr>
                <w:rFonts w:hint="eastAsia"/>
              </w:rPr>
              <w:t xml:space="preserve">していない</w:t>
            </w:r>
          </w:p>
        </w:tc>
        <w:tc>
          <w:tcPr>
            <w:tcW w:w="4556" w:type="dxa"/>
          </w:tcPr>
          <w:p>
            <w:r>
              <w:rPr>
                <w:rFonts w:hint="eastAsia"/>
              </w:rPr>
              <w:t xml:space="preserve">得意先・納入品目・仕入先・納入先に内部結合(未登録伝票を除外)</w:t>
            </w:r>
          </w:p>
        </w:tc>
      </w:tr>
      <w:tr>
        <w:trPr>
          <w:cantSplit/>
        </w:trPr>
        <w:tc>
          <w:tcPr>
            <w:tcW w:w="1822" w:type="dxa"/>
          </w:tcPr>
          <w:p>
            <w:r>
              <w:rPr>
                <w:rFonts w:hint="eastAsia"/>
              </w:rPr>
              <w:t xml:space="preserve">確定の品目マスタ結合キー</w:t>
            </w:r>
          </w:p>
        </w:tc>
        <w:tc>
          <w:tcPr>
            <w:tcW w:w="2126" w:type="dxa"/>
          </w:tcPr>
          <w:p>
            <w:r>
              <w:rPr>
                <w:rFonts w:hint="eastAsia"/>
              </w:rPr>
              <w:t xml:space="preserve">納入品目番号</w:t>
            </w:r>
          </w:p>
        </w:tc>
        <w:tc>
          <w:tcPr>
            <w:tcW w:w="4556" w:type="dxa"/>
          </w:tcPr>
          <w:p>
            <w:r>
              <w:rPr>
                <w:rFonts w:hint="eastAsia"/>
              </w:rPr>
              <w:t xml:space="preserve">在庫品目番号</w:t>
            </w:r>
          </w:p>
        </w:tc>
      </w:tr>
    </w:tbl>
    <w:p/>
    <w:p>
      <w:r>
        <w:rPr>
          <w:rFonts w:hint="eastAsia"/>
        </w:rPr>
        <w:t xml:space="preserve">同じ時刻に両方を実行して比べた差です。確定はほぼ変わらず、内示は当月・翌月ほど動きます。</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735"/>
        <w:gridCol w:w="2779"/>
        <w:gridCol w:w="2776"/>
        <w:gridCol w:w="1214"/>
      </w:tblGrid>
      <w:tr>
        <w:trPr>
          <w:cantSplit/>
          <w:tblHeader/>
        </w:trPr>
        <w:tc>
          <w:tcPr>
            <w:tcW w:w="1735" w:type="dxa"/>
          </w:tcPr>
          <w:p>
            <w:pPr>
              <w:rPr>
                <w:b/>
              </w:rPr>
            </w:pPr>
            <w:r>
              <w:rPr>
                <w:rFonts w:hint="eastAsia"/>
                <w:b/>
              </w:rPr>
              <w:t xml:space="preserve">月</w:t>
            </w:r>
          </w:p>
        </w:tc>
        <w:tc>
          <w:tcPr>
            <w:tcW w:w="2779" w:type="dxa"/>
          </w:tcPr>
          <w:p>
            <w:pPr>
              <w:rPr>
                <w:b/>
              </w:rPr>
            </w:pPr>
            <w:r>
              <w:rPr>
                <w:rFonts w:hint="eastAsia"/>
                <w:b/>
              </w:rPr>
              <w:t xml:space="preserve">内示(ver1.0の式)</w:t>
            </w:r>
          </w:p>
        </w:tc>
        <w:tc>
          <w:tcPr>
            <w:tcW w:w="2776" w:type="dxa"/>
          </w:tcPr>
          <w:p>
            <w:pPr>
              <w:rPr>
                <w:b/>
              </w:rPr>
            </w:pPr>
            <w:r>
              <w:rPr>
                <w:rFonts w:hint="eastAsia"/>
                <w:b/>
              </w:rPr>
              <w:t xml:space="preserve">内示(ver1.1の式)</w:t>
            </w:r>
          </w:p>
        </w:tc>
        <w:tc>
          <w:tcPr>
            <w:tcW w:w="1214" w:type="dxa"/>
          </w:tcPr>
          <w:p>
            <w:pPr>
              <w:rPr>
                <w:b/>
              </w:rPr>
            </w:pPr>
            <w:r>
              <w:rPr>
                <w:rFonts w:hint="eastAsia"/>
                <w:b/>
              </w:rPr>
              <w:t xml:space="preserve">差</w:t>
            </w:r>
          </w:p>
        </w:tc>
      </w:tr>
      <w:tr>
        <w:trPr>
          <w:cantSplit/>
        </w:trPr>
        <w:tc>
          <w:tcPr>
            <w:tcW w:w="1735" w:type="dxa"/>
          </w:tcPr>
          <w:p>
            <w:r>
              <w:rPr>
                <w:rFonts w:hint="eastAsia"/>
              </w:rPr>
              <w:t xml:space="preserve">2026年8月</w:t>
            </w:r>
          </w:p>
        </w:tc>
        <w:tc>
          <w:tcPr>
            <w:tcW w:w="2779" w:type="dxa"/>
          </w:tcPr>
          <w:p>
            <w:r>
              <w:rPr>
                <w:rFonts w:hint="eastAsia"/>
              </w:rPr>
              <w:t xml:space="preserve">20,407,337</w:t>
            </w:r>
          </w:p>
        </w:tc>
        <w:tc>
          <w:tcPr>
            <w:tcW w:w="2776" w:type="dxa"/>
          </w:tcPr>
          <w:p>
            <w:r>
              <w:rPr>
                <w:rFonts w:hint="eastAsia"/>
              </w:rPr>
              <w:t xml:space="preserve">15,510,831</w:t>
            </w:r>
          </w:p>
        </w:tc>
        <w:tc>
          <w:tcPr>
            <w:tcW w:w="1214" w:type="dxa"/>
          </w:tcPr>
          <w:p>
            <w:r>
              <w:rPr>
                <w:rFonts w:hint="eastAsia"/>
              </w:rPr>
              <w:t xml:space="preserve">−24.0%</w:t>
            </w:r>
          </w:p>
        </w:tc>
      </w:tr>
      <w:tr>
        <w:trPr>
          <w:cantSplit/>
        </w:trPr>
        <w:tc>
          <w:tcPr>
            <w:tcW w:w="1735" w:type="dxa"/>
          </w:tcPr>
          <w:p>
            <w:r>
              <w:rPr>
                <w:rFonts w:hint="eastAsia"/>
              </w:rPr>
              <w:t xml:space="preserve">2026年9月</w:t>
            </w:r>
          </w:p>
        </w:tc>
        <w:tc>
          <w:tcPr>
            <w:tcW w:w="2779" w:type="dxa"/>
          </w:tcPr>
          <w:p>
            <w:r>
              <w:rPr>
                <w:rFonts w:hint="eastAsia"/>
              </w:rPr>
              <w:t xml:space="preserve">234,708,225</w:t>
            </w:r>
          </w:p>
        </w:tc>
        <w:tc>
          <w:tcPr>
            <w:tcW w:w="2776" w:type="dxa"/>
          </w:tcPr>
          <w:p>
            <w:r>
              <w:rPr>
                <w:rFonts w:hint="eastAsia"/>
              </w:rPr>
              <w:t xml:space="preserve">218,776,401</w:t>
            </w:r>
          </w:p>
        </w:tc>
        <w:tc>
          <w:tcPr>
            <w:tcW w:w="1214" w:type="dxa"/>
          </w:tcPr>
          <w:p>
            <w:r>
              <w:rPr>
                <w:rFonts w:hint="eastAsia"/>
              </w:rPr>
              <w:t xml:space="preserve">−6.8%</w:t>
            </w:r>
          </w:p>
        </w:tc>
      </w:tr>
      <w:tr>
        <w:trPr>
          <w:cantSplit/>
        </w:trPr>
        <w:tc>
          <w:tcPr>
            <w:tcW w:w="1735" w:type="dxa"/>
          </w:tcPr>
          <w:p>
            <w:r>
              <w:rPr>
                <w:rFonts w:hint="eastAsia"/>
              </w:rPr>
              <w:t xml:space="preserve">2026年10月</w:t>
            </w:r>
          </w:p>
        </w:tc>
        <w:tc>
          <w:tcPr>
            <w:tcW w:w="2779" w:type="dxa"/>
          </w:tcPr>
          <w:p>
            <w:r>
              <w:rPr>
                <w:rFonts w:hint="eastAsia"/>
              </w:rPr>
              <w:t xml:space="preserve">315,466,140</w:t>
            </w:r>
          </w:p>
        </w:tc>
        <w:tc>
          <w:tcPr>
            <w:tcW w:w="2776" w:type="dxa"/>
          </w:tcPr>
          <w:p>
            <w:r>
              <w:rPr>
                <w:rFonts w:hint="eastAsia"/>
              </w:rPr>
              <w:t xml:space="preserve">312,880,679</w:t>
            </w:r>
          </w:p>
        </w:tc>
        <w:tc>
          <w:tcPr>
            <w:tcW w:w="1214" w:type="dxa"/>
          </w:tcPr>
          <w:p>
            <w:r>
              <w:rPr>
                <w:rFonts w:hint="eastAsia"/>
              </w:rPr>
              <w:t xml:space="preserve">−0.8%</w:t>
            </w:r>
          </w:p>
        </w:tc>
      </w:tr>
      <w:tr>
        <w:trPr>
          <w:cantSplit/>
        </w:trPr>
        <w:tc>
          <w:tcPr>
            <w:tcW w:w="1735" w:type="dxa"/>
          </w:tcPr>
          <w:p>
            <w:r>
              <w:rPr>
                <w:rFonts w:hint="eastAsia"/>
              </w:rPr>
              <w:t xml:space="preserve">2026年11月</w:t>
            </w:r>
          </w:p>
        </w:tc>
        <w:tc>
          <w:tcPr>
            <w:tcW w:w="2779" w:type="dxa"/>
          </w:tcPr>
          <w:p>
            <w:r>
              <w:rPr>
                <w:rFonts w:hint="eastAsia"/>
              </w:rPr>
              <w:t xml:space="preserve">294,393,318</w:t>
            </w:r>
          </w:p>
        </w:tc>
        <w:tc>
          <w:tcPr>
            <w:tcW w:w="2776" w:type="dxa"/>
          </w:tcPr>
          <w:p>
            <w:r>
              <w:rPr>
                <w:rFonts w:hint="eastAsia"/>
              </w:rPr>
              <w:t xml:space="preserve">296,046,137</w:t>
            </w:r>
          </w:p>
        </w:tc>
        <w:tc>
          <w:tcPr>
            <w:tcW w:w="1214" w:type="dxa"/>
          </w:tcPr>
          <w:p>
            <w:r>
              <w:rPr>
                <w:rFonts w:hint="eastAsia"/>
              </w:rPr>
              <w:t xml:space="preserve">+0.6%</w:t>
            </w:r>
          </w:p>
        </w:tc>
      </w:tr>
      <w:tr>
        <w:trPr>
          <w:cantSplit/>
        </w:trPr>
        <w:tc>
          <w:tcPr>
            <w:tcW w:w="1735" w:type="dxa"/>
          </w:tcPr>
          <w:p>
            <w:r>
              <w:rPr>
                <w:rFonts w:hint="eastAsia"/>
              </w:rPr>
              <w:t xml:space="preserve">2026年12月</w:t>
            </w:r>
          </w:p>
        </w:tc>
        <w:tc>
          <w:tcPr>
            <w:tcW w:w="2779" w:type="dxa"/>
          </w:tcPr>
          <w:p>
            <w:r>
              <w:rPr>
                <w:rFonts w:hint="eastAsia"/>
              </w:rPr>
              <w:t xml:space="preserve">221,978,865</w:t>
            </w:r>
          </w:p>
        </w:tc>
        <w:tc>
          <w:tcPr>
            <w:tcW w:w="2776" w:type="dxa"/>
          </w:tcPr>
          <w:p>
            <w:r>
              <w:rPr>
                <w:rFonts w:hint="eastAsia"/>
              </w:rPr>
              <w:t xml:space="preserve">224,636,176</w:t>
            </w:r>
          </w:p>
        </w:tc>
        <w:tc>
          <w:tcPr>
            <w:tcW w:w="1214" w:type="dxa"/>
          </w:tcPr>
          <w:p>
            <w:r>
              <w:rPr>
                <w:rFonts w:hint="eastAsia"/>
              </w:rPr>
              <w:t xml:space="preserve">+1.2%</w:t>
            </w:r>
          </w:p>
        </w:tc>
      </w:tr>
    </w:tbl>
    <w:p/>
    <w:p>
      <w:r>
        <w:rPr>
          <w:rFonts w:hint="eastAsia"/>
        </w:rPr>
        <w:t xml:space="preserve">確定は全月で+0.1〜+0.3%の範囲でした。マスタに登録が無い伝票がごく少ないためです。</w:t>
      </w:r>
    </w:p>
    <w:p>
      <w:pPr>
        <w:pStyle w:val="1"/>
      </w:pPr>
      <w:r>
        <w:rPr>
          <w:rFonts w:hint="eastAsia"/>
        </w:rPr>
        <w:t xml:space="preserve">2. 単価を納期の時点で解決</w:t>
      </w:r>
    </w:p>
    <w:p>
      <w:r>
        <w:rPr>
          <w:rFonts w:hint="eastAsia"/>
        </w:rPr>
        <w:t xml:space="preserve">PRONESの単価マスタには、将来の日付を開始日とする単価改定行を先に登録できます。元クエリは有効日で絞り込まず、常に「開始日が最も新しい行」を採用する作りでした。</w:t>
      </w:r>
    </w:p>
    <w:p>
      <w:r>
        <w:rPr>
          <w:rFonts w:hint="eastAsia"/>
        </w:rPr>
        <w:t xml:space="preserve">この作りだと、将来の改定が登録された瞬間に、まだ改定前である過去月の金額まで新単価で計算されてしまいます。実際、竹内製作所の品目 80000-KNU00 には2026年9月9日発効で単価を3,453から15,560(約4.5倍)にする行が登録されており、そのままでは8月以前の金額まで4.5倍で計算されます。</w:t>
      </w:r>
    </w:p>
    <w:p>
      <w:r>
        <w:rPr>
          <w:rFonts w:hint="eastAsia"/>
        </w:rPr>
        <w:t xml:space="preserve">ver1.1では、その注文の納入指定日(内示は納期)の時点で有効な単価を採用するよう改めました。9月9日改定なら、9月8日以前の納期には旧単価、9月9日以降の納期には新単価が当たります。</w:t>
      </w:r>
    </w:p>
    <w:p>
      <w:r>
        <w:rPr>
          <w:rFonts w:hint="eastAsia"/>
        </w:rPr>
        <w:t xml:space="preserve">この変更で、手作業Excelとの一致が改善しました。確定を2026年8月19日時点に巻き戻して比べたものです。</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667"/>
        <w:gridCol w:w="3336"/>
        <w:gridCol w:w="1667"/>
        <w:gridCol w:w="1834"/>
      </w:tblGrid>
      <w:tr>
        <w:trPr>
          <w:cantSplit/>
          <w:tblHeader/>
        </w:trPr>
        <w:tc>
          <w:tcPr>
            <w:tcW w:w="1667" w:type="dxa"/>
          </w:tcPr>
          <w:p>
            <w:pPr>
              <w:rPr>
                <w:b/>
              </w:rPr>
            </w:pPr>
            <w:r>
              <w:rPr>
                <w:rFonts w:hint="eastAsia"/>
                <w:b/>
              </w:rPr>
              <w:t xml:space="preserve">月</w:t>
            </w:r>
          </w:p>
        </w:tc>
        <w:tc>
          <w:tcPr>
            <w:tcW w:w="3336" w:type="dxa"/>
          </w:tcPr>
          <w:p>
            <w:pPr>
              <w:rPr>
                <w:b/>
              </w:rPr>
            </w:pPr>
            <w:r>
              <w:rPr>
                <w:rFonts w:hint="eastAsia"/>
                <w:b/>
              </w:rPr>
              <w:t xml:space="preserve">ver1.0/1.1初版との差</w:t>
            </w:r>
          </w:p>
        </w:tc>
        <w:tc>
          <w:tcPr>
            <w:tcW w:w="1667" w:type="dxa"/>
          </w:tcPr>
          <w:p>
            <w:pPr>
              <w:rPr>
                <w:b/>
              </w:rPr>
            </w:pPr>
            <w:r>
              <w:rPr>
                <w:rFonts w:hint="eastAsia"/>
                <w:b/>
              </w:rPr>
              <w:t xml:space="preserve">現在との差</w:t>
            </w:r>
          </w:p>
        </w:tc>
        <w:tc>
          <w:tcPr>
            <w:tcW w:w="1834" w:type="dxa"/>
          </w:tcPr>
          <w:p>
            <w:pPr>
              <w:rPr>
                <w:b/>
              </w:rPr>
            </w:pPr>
            <w:r>
              <w:rPr>
                <w:rFonts w:hint="eastAsia"/>
                <w:b/>
              </w:rPr>
              <w:t xml:space="preserve">Excelの値</w:t>
            </w:r>
          </w:p>
        </w:tc>
      </w:tr>
      <w:tr>
        <w:trPr>
          <w:cantSplit/>
        </w:trPr>
        <w:tc>
          <w:tcPr>
            <w:tcW w:w="1667" w:type="dxa"/>
          </w:tcPr>
          <w:p>
            <w:r>
              <w:rPr>
                <w:rFonts w:hint="eastAsia"/>
              </w:rPr>
              <w:t xml:space="preserve">2026年8月</w:t>
            </w:r>
          </w:p>
        </w:tc>
        <w:tc>
          <w:tcPr>
            <w:tcW w:w="3336" w:type="dxa"/>
          </w:tcPr>
          <w:p>
            <w:r>
              <w:rPr>
                <w:rFonts w:hint="eastAsia"/>
              </w:rPr>
              <w:t xml:space="preserve">+0.22%</w:t>
            </w:r>
          </w:p>
        </w:tc>
        <w:tc>
          <w:tcPr>
            <w:tcW w:w="1667" w:type="dxa"/>
          </w:tcPr>
          <w:p>
            <w:r>
              <w:rPr>
                <w:rFonts w:hint="eastAsia"/>
              </w:rPr>
              <w:t xml:space="preserve">−0.10%</w:t>
            </w:r>
          </w:p>
        </w:tc>
        <w:tc>
          <w:tcPr>
            <w:tcW w:w="1834" w:type="dxa"/>
          </w:tcPr>
          <w:p>
            <w:r>
              <w:rPr>
                <w:rFonts w:hint="eastAsia"/>
              </w:rPr>
              <w:t xml:space="preserve">331,832,554</w:t>
            </w:r>
          </w:p>
        </w:tc>
      </w:tr>
      <w:tr>
        <w:trPr>
          <w:cantSplit/>
        </w:trPr>
        <w:tc>
          <w:tcPr>
            <w:tcW w:w="1667" w:type="dxa"/>
          </w:tcPr>
          <w:p>
            <w:r>
              <w:rPr>
                <w:rFonts w:hint="eastAsia"/>
              </w:rPr>
              <w:t xml:space="preserve">2026年10月</w:t>
            </w:r>
          </w:p>
        </w:tc>
        <w:tc>
          <w:tcPr>
            <w:tcW w:w="3336" w:type="dxa"/>
          </w:tcPr>
          <w:p>
            <w:r>
              <w:rPr>
                <w:rFonts w:hint="eastAsia"/>
              </w:rPr>
              <w:t xml:space="preserve">+0.23%</w:t>
            </w:r>
          </w:p>
        </w:tc>
        <w:tc>
          <w:tcPr>
            <w:tcW w:w="1667" w:type="dxa"/>
          </w:tcPr>
          <w:p>
            <w:r>
              <w:rPr>
                <w:rFonts w:hint="eastAsia"/>
              </w:rPr>
              <w:t xml:space="preserve">−0.20%</w:t>
            </w:r>
          </w:p>
        </w:tc>
        <w:tc>
          <w:tcPr>
            <w:tcW w:w="1834" w:type="dxa"/>
          </w:tcPr>
          <w:p>
            <w:r>
              <w:rPr>
                <w:rFonts w:hint="eastAsia"/>
              </w:rPr>
              <w:t xml:space="preserve">128,991,657</w:t>
            </w:r>
          </w:p>
        </w:tc>
      </w:tr>
      <w:tr>
        <w:trPr>
          <w:cantSplit/>
        </w:trPr>
        <w:tc>
          <w:tcPr>
            <w:tcW w:w="1667" w:type="dxa"/>
          </w:tcPr>
          <w:p>
            <w:r>
              <w:rPr>
                <w:rFonts w:hint="eastAsia"/>
              </w:rPr>
              <w:t xml:space="preserve">2026年12月</w:t>
            </w:r>
          </w:p>
        </w:tc>
        <w:tc>
          <w:tcPr>
            <w:tcW w:w="3336" w:type="dxa"/>
          </w:tcPr>
          <w:p>
            <w:r>
              <w:rPr>
                <w:rFonts w:hint="eastAsia"/>
              </w:rPr>
              <w:t xml:space="preserve">+1.82%</w:t>
            </w:r>
          </w:p>
        </w:tc>
        <w:tc>
          <w:tcPr>
            <w:tcW w:w="1667" w:type="dxa"/>
          </w:tcPr>
          <w:p>
            <w:r>
              <w:rPr>
                <w:rFonts w:hint="eastAsia"/>
              </w:rPr>
              <w:t xml:space="preserve">+1.45%</w:t>
            </w:r>
          </w:p>
        </w:tc>
        <w:tc>
          <w:tcPr>
            <w:tcW w:w="1834" w:type="dxa"/>
          </w:tcPr>
          <w:p>
            <w:r>
              <w:rPr>
                <w:rFonts w:hint="eastAsia"/>
              </w:rPr>
              <w:t xml:space="preserve">6,305,183</w:t>
            </w:r>
          </w:p>
        </w:tc>
      </w:tr>
      <w:tr>
        <w:trPr>
          <w:cantSplit/>
        </w:trPr>
        <w:tc>
          <w:tcPr>
            <w:tcW w:w="1667" w:type="dxa"/>
          </w:tcPr>
          <w:p>
            <w:r>
              <w:rPr>
                <w:rFonts w:hint="eastAsia"/>
              </w:rPr>
              <w:t xml:space="preserve">2026年11月</w:t>
            </w:r>
          </w:p>
        </w:tc>
        <w:tc>
          <w:tcPr>
            <w:tcW w:w="3336" w:type="dxa"/>
          </w:tcPr>
          <w:p>
            <w:r>
              <w:rPr>
                <w:rFonts w:hint="eastAsia"/>
              </w:rPr>
              <w:t xml:space="preserve">+4.99%</w:t>
            </w:r>
          </w:p>
        </w:tc>
        <w:tc>
          <w:tcPr>
            <w:tcW w:w="1667" w:type="dxa"/>
          </w:tcPr>
          <w:p>
            <w:r>
              <w:rPr>
                <w:rFonts w:hint="eastAsia"/>
              </w:rPr>
              <w:t xml:space="preserve">+3.50%</w:t>
            </w:r>
          </w:p>
        </w:tc>
        <w:tc>
          <w:tcPr>
            <w:tcW w:w="1834" w:type="dxa"/>
          </w:tcPr>
          <w:p>
            <w:r>
              <w:rPr>
                <w:rFonts w:hint="eastAsia"/>
              </w:rPr>
              <w:t xml:space="preserve">53,038,095</w:t>
            </w:r>
          </w:p>
        </w:tc>
      </w:tr>
      <w:tr>
        <w:trPr>
          <w:cantSplit/>
        </w:trPr>
        <w:tc>
          <w:tcPr>
            <w:tcW w:w="1667" w:type="dxa"/>
          </w:tcPr>
          <w:p>
            <w:r>
              <w:rPr>
                <w:rFonts w:hint="eastAsia"/>
              </w:rPr>
              <w:t xml:space="preserve">2026年9月</w:t>
            </w:r>
          </w:p>
        </w:tc>
        <w:tc>
          <w:tcPr>
            <w:tcW w:w="3336" w:type="dxa"/>
          </w:tcPr>
          <w:p>
            <w:r>
              <w:rPr>
                <w:rFonts w:hint="eastAsia"/>
              </w:rPr>
              <w:t xml:space="preserve">+6.63%</w:t>
            </w:r>
          </w:p>
        </w:tc>
        <w:tc>
          <w:tcPr>
            <w:tcW w:w="1667" w:type="dxa"/>
          </w:tcPr>
          <w:p>
            <w:r>
              <w:rPr>
                <w:rFonts w:hint="eastAsia"/>
              </w:rPr>
              <w:t xml:space="preserve">+6.37%</w:t>
            </w:r>
          </w:p>
        </w:tc>
        <w:tc>
          <w:tcPr>
            <w:tcW w:w="1834" w:type="dxa"/>
          </w:tcPr>
          <w:p>
            <w:r>
              <w:rPr>
                <w:rFonts w:hint="eastAsia"/>
              </w:rPr>
              <w:t xml:space="preserve">132,486,642</w:t>
            </w:r>
          </w:p>
        </w:tc>
      </w:tr>
    </w:tbl>
    <w:p/>
    <w:p>
      <w:r>
        <w:rPr>
          <w:rFonts w:hint="eastAsia"/>
        </w:rPr>
        <w:t xml:space="preserve">なお現在の測定では、単価マスタの登録日にも8月19日の上限を付けています(前回の測定では付けていませんでした)。厳密な同条件比較ではないため、差の改善分すべてが単価解決の変更によるものとは言い切れません。</w:t>
      </w:r>
    </w:p>
    <w:p>
      <w:pPr>
        <w:pStyle w:val="1"/>
      </w:pPr>
      <w:r>
        <w:rPr>
          <w:rFonts w:hint="eastAsia"/>
        </w:rPr>
        <w:t xml:space="preserve">3. 「見込」を追加</w:t>
      </w:r>
    </w:p>
    <w:p>
      <w:r>
        <w:rPr>
          <w:rFonts w:hint="eastAsia"/>
        </w:rPr>
        <w:t xml:space="preserve">ver1.0は「内示＋確定」だけを見込み合計としていました。しかし内示は数か月先までしか来ないため、先の月ほど合計が小さく出て、予算との比較が成り立ちませんでした。</w:t>
      </w:r>
    </w:p>
    <w:p>
      <w:r>
        <w:rPr>
          <w:rFonts w:hint="eastAsia"/>
        </w:rPr>
        <w:t xml:space="preserve">そこでver1.1では、内示すら来ていない先の月を実績のペースで補う「見込」を第3の構成要素として追加しました。得意先ごとに、直近3か月の確定金額を同期間の稼働日数で割って1稼働日あたりの金額を出し、対象月の稼働日数を掛けます。月ごとの営業日数の差を吸収するため、単純な3か月平均より精度が上がります。</w:t>
      </w:r>
    </w:p>
    <w:p>
      <w:r>
        <w:rPr>
          <w:rFonts w:hint="eastAsia"/>
        </w:rPr>
        <w:t xml:space="preserve">見込を出すのは翌月以降、かつその得意先の内示が来ていない月だけです。当月には出しません。1つの得意先の1つの月には「確定＋内示」か「確定＋見込」のどちらかしか立たないため、3つを足しても重複しません。</w:t>
      </w:r>
    </w:p>
    <w:p>
      <w:r>
        <w:rPr>
          <w:rFonts w:hint="eastAsia"/>
        </w:rPr>
        <w:t xml:space="preserve">2026年8月27日時点の実際の値です。内示が先細りしていく分を見込が引き継いでいることが分かります。</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574"/>
        <w:gridCol w:w="1734"/>
        <w:gridCol w:w="1732"/>
        <w:gridCol w:w="1732"/>
        <w:gridCol w:w="1732"/>
      </w:tblGrid>
      <w:tr>
        <w:trPr>
          <w:cantSplit/>
          <w:tblHeader/>
        </w:trPr>
        <w:tc>
          <w:tcPr>
            <w:tcW w:w="1574" w:type="dxa"/>
          </w:tcPr>
          <w:p>
            <w:pPr>
              <w:rPr>
                <w:b/>
              </w:rPr>
            </w:pPr>
            <w:r>
              <w:rPr>
                <w:rFonts w:hint="eastAsia"/>
                <w:b/>
              </w:rPr>
              <w:t xml:space="preserve">月</w:t>
            </w:r>
          </w:p>
        </w:tc>
        <w:tc>
          <w:tcPr>
            <w:tcW w:w="1734" w:type="dxa"/>
          </w:tcPr>
          <w:p>
            <w:pPr>
              <w:rPr>
                <w:b/>
              </w:rPr>
            </w:pPr>
            <w:r>
              <w:rPr>
                <w:rFonts w:hint="eastAsia"/>
                <w:b/>
              </w:rPr>
              <w:t xml:space="preserve">確定</w:t>
            </w:r>
          </w:p>
        </w:tc>
        <w:tc>
          <w:tcPr>
            <w:tcW w:w="1732" w:type="dxa"/>
          </w:tcPr>
          <w:p>
            <w:pPr>
              <w:rPr>
                <w:b/>
              </w:rPr>
            </w:pPr>
            <w:r>
              <w:rPr>
                <w:rFonts w:hint="eastAsia"/>
                <w:b/>
              </w:rPr>
              <w:t xml:space="preserve">内示</w:t>
            </w:r>
          </w:p>
        </w:tc>
        <w:tc>
          <w:tcPr>
            <w:tcW w:w="1732" w:type="dxa"/>
          </w:tcPr>
          <w:p>
            <w:pPr>
              <w:rPr>
                <w:b/>
              </w:rPr>
            </w:pPr>
            <w:r>
              <w:rPr>
                <w:rFonts w:hint="eastAsia"/>
                <w:b/>
              </w:rPr>
              <w:t xml:space="preserve">見込</w:t>
            </w:r>
          </w:p>
        </w:tc>
        <w:tc>
          <w:tcPr>
            <w:tcW w:w="1732" w:type="dxa"/>
          </w:tcPr>
          <w:p>
            <w:pPr>
              <w:rPr>
                <w:b/>
              </w:rPr>
            </w:pPr>
            <w:r>
              <w:rPr>
                <w:rFonts w:hint="eastAsia"/>
                <w:b/>
              </w:rPr>
              <w:t xml:space="preserve">合計</w:t>
            </w:r>
          </w:p>
        </w:tc>
      </w:tr>
      <w:tr>
        <w:trPr>
          <w:cantSplit/>
        </w:trPr>
        <w:tc>
          <w:tcPr>
            <w:tcW w:w="1574" w:type="dxa"/>
          </w:tcPr>
          <w:p>
            <w:r>
              <w:rPr>
                <w:rFonts w:hint="eastAsia"/>
              </w:rPr>
              <w:t xml:space="preserve">2026年8月</w:t>
            </w:r>
          </w:p>
        </w:tc>
        <w:tc>
          <w:tcPr>
            <w:tcW w:w="1734" w:type="dxa"/>
          </w:tcPr>
          <w:p>
            <w:r>
              <w:rPr>
                <w:rFonts w:hint="eastAsia"/>
              </w:rPr>
              <w:t xml:space="preserve">335,769,159</w:t>
            </w:r>
          </w:p>
        </w:tc>
        <w:tc>
          <w:tcPr>
            <w:tcW w:w="1732" w:type="dxa"/>
          </w:tcPr>
          <w:p>
            <w:r>
              <w:rPr>
                <w:rFonts w:hint="eastAsia"/>
              </w:rPr>
              <w:t xml:space="preserve">22,940</w:t>
            </w:r>
          </w:p>
        </w:tc>
        <w:tc>
          <w:tcPr>
            <w:tcW w:w="1732" w:type="dxa"/>
          </w:tcPr>
          <w:p>
            <w:r>
              <w:rPr>
                <w:rFonts w:hint="eastAsia"/>
              </w:rPr>
              <w:t xml:space="preserve">0</w:t>
            </w:r>
          </w:p>
        </w:tc>
        <w:tc>
          <w:tcPr>
            <w:tcW w:w="1732" w:type="dxa"/>
          </w:tcPr>
          <w:p>
            <w:r>
              <w:rPr>
                <w:rFonts w:hint="eastAsia"/>
              </w:rPr>
              <w:t xml:space="preserve">335,792,099</w:t>
            </w:r>
          </w:p>
        </w:tc>
      </w:tr>
      <w:tr>
        <w:trPr>
          <w:cantSplit/>
        </w:trPr>
        <w:tc>
          <w:tcPr>
            <w:tcW w:w="1574" w:type="dxa"/>
          </w:tcPr>
          <w:p>
            <w:r>
              <w:rPr>
                <w:rFonts w:hint="eastAsia"/>
              </w:rPr>
              <w:t xml:space="preserve">2026年9月</w:t>
            </w:r>
          </w:p>
        </w:tc>
        <w:tc>
          <w:tcPr>
            <w:tcW w:w="1734" w:type="dxa"/>
          </w:tcPr>
          <w:p>
            <w:r>
              <w:rPr>
                <w:rFonts w:hint="eastAsia"/>
              </w:rPr>
              <w:t xml:space="preserve">213,045,994</w:t>
            </w:r>
          </w:p>
        </w:tc>
        <w:tc>
          <w:tcPr>
            <w:tcW w:w="1732" w:type="dxa"/>
          </w:tcPr>
          <w:p>
            <w:r>
              <w:rPr>
                <w:rFonts w:hint="eastAsia"/>
              </w:rPr>
              <w:t xml:space="preserve">166,820,074</w:t>
            </w:r>
          </w:p>
        </w:tc>
        <w:tc>
          <w:tcPr>
            <w:tcW w:w="1732" w:type="dxa"/>
          </w:tcPr>
          <w:p>
            <w:r>
              <w:rPr>
                <w:rFonts w:hint="eastAsia"/>
              </w:rPr>
              <w:t xml:space="preserve">8,011,005</w:t>
            </w:r>
          </w:p>
        </w:tc>
        <w:tc>
          <w:tcPr>
            <w:tcW w:w="1732" w:type="dxa"/>
          </w:tcPr>
          <w:p>
            <w:r>
              <w:rPr>
                <w:rFonts w:hint="eastAsia"/>
              </w:rPr>
              <w:t xml:space="preserve">387,877,073</w:t>
            </w:r>
          </w:p>
        </w:tc>
      </w:tr>
      <w:tr>
        <w:trPr>
          <w:cantSplit/>
        </w:trPr>
        <w:tc>
          <w:tcPr>
            <w:tcW w:w="1574" w:type="dxa"/>
          </w:tcPr>
          <w:p>
            <w:r>
              <w:rPr>
                <w:rFonts w:hint="eastAsia"/>
              </w:rPr>
              <w:t xml:space="preserve">2026年10月</w:t>
            </w:r>
          </w:p>
        </w:tc>
        <w:tc>
          <w:tcPr>
            <w:tcW w:w="1734" w:type="dxa"/>
          </w:tcPr>
          <w:p>
            <w:r>
              <w:rPr>
                <w:rFonts w:hint="eastAsia"/>
              </w:rPr>
              <w:t xml:space="preserve">133,851,204</w:t>
            </w:r>
          </w:p>
        </w:tc>
        <w:tc>
          <w:tcPr>
            <w:tcW w:w="1732" w:type="dxa"/>
          </w:tcPr>
          <w:p>
            <w:r>
              <w:rPr>
                <w:rFonts w:hint="eastAsia"/>
              </w:rPr>
              <w:t xml:space="preserve">274,760,423</w:t>
            </w:r>
          </w:p>
        </w:tc>
        <w:tc>
          <w:tcPr>
            <w:tcW w:w="1732" w:type="dxa"/>
          </w:tcPr>
          <w:p>
            <w:r>
              <w:rPr>
                <w:rFonts w:hint="eastAsia"/>
              </w:rPr>
              <w:t xml:space="preserve">13,725,819</w:t>
            </w:r>
          </w:p>
        </w:tc>
        <w:tc>
          <w:tcPr>
            <w:tcW w:w="1732" w:type="dxa"/>
          </w:tcPr>
          <w:p>
            <w:r>
              <w:rPr>
                <w:rFonts w:hint="eastAsia"/>
              </w:rPr>
              <w:t xml:space="preserve">422,337,446</w:t>
            </w:r>
          </w:p>
        </w:tc>
      </w:tr>
      <w:tr>
        <w:trPr>
          <w:cantSplit/>
        </w:trPr>
        <w:tc>
          <w:tcPr>
            <w:tcW w:w="1574" w:type="dxa"/>
          </w:tcPr>
          <w:p>
            <w:r>
              <w:rPr>
                <w:rFonts w:hint="eastAsia"/>
              </w:rPr>
              <w:t xml:space="preserve">2026年11月</w:t>
            </w:r>
          </w:p>
        </w:tc>
        <w:tc>
          <w:tcPr>
            <w:tcW w:w="1734" w:type="dxa"/>
          </w:tcPr>
          <w:p>
            <w:r>
              <w:rPr>
                <w:rFonts w:hint="eastAsia"/>
              </w:rPr>
              <w:t xml:space="preserve">70,079,819</w:t>
            </w:r>
          </w:p>
        </w:tc>
        <w:tc>
          <w:tcPr>
            <w:tcW w:w="1732" w:type="dxa"/>
          </w:tcPr>
          <w:p>
            <w:r>
              <w:rPr>
                <w:rFonts w:hint="eastAsia"/>
              </w:rPr>
              <w:t xml:space="preserve">246,717,773</w:t>
            </w:r>
          </w:p>
        </w:tc>
        <w:tc>
          <w:tcPr>
            <w:tcW w:w="1732" w:type="dxa"/>
          </w:tcPr>
          <w:p>
            <w:r>
              <w:rPr>
                <w:rFonts w:hint="eastAsia"/>
              </w:rPr>
              <w:t xml:space="preserve">30,690,109</w:t>
            </w:r>
          </w:p>
        </w:tc>
        <w:tc>
          <w:tcPr>
            <w:tcW w:w="1732" w:type="dxa"/>
          </w:tcPr>
          <w:p>
            <w:r>
              <w:rPr>
                <w:rFonts w:hint="eastAsia"/>
              </w:rPr>
              <w:t xml:space="preserve">347,487,701</w:t>
            </w:r>
          </w:p>
        </w:tc>
      </w:tr>
      <w:tr>
        <w:trPr>
          <w:cantSplit/>
        </w:trPr>
        <w:tc>
          <w:tcPr>
            <w:tcW w:w="1574" w:type="dxa"/>
          </w:tcPr>
          <w:p>
            <w:r>
              <w:rPr>
                <w:rFonts w:hint="eastAsia"/>
              </w:rPr>
              <w:t xml:space="preserve">2026年12月</w:t>
            </w:r>
          </w:p>
        </w:tc>
        <w:tc>
          <w:tcPr>
            <w:tcW w:w="1734" w:type="dxa"/>
          </w:tcPr>
          <w:p>
            <w:r>
              <w:rPr>
                <w:rFonts w:hint="eastAsia"/>
              </w:rPr>
              <w:t xml:space="preserve">13,830,919</w:t>
            </w:r>
          </w:p>
        </w:tc>
        <w:tc>
          <w:tcPr>
            <w:tcW w:w="1732" w:type="dxa"/>
          </w:tcPr>
          <w:p>
            <w:r>
              <w:rPr>
                <w:rFonts w:hint="eastAsia"/>
              </w:rPr>
              <w:t xml:space="preserve">209,367,615</w:t>
            </w:r>
          </w:p>
        </w:tc>
        <w:tc>
          <w:tcPr>
            <w:tcW w:w="1732" w:type="dxa"/>
          </w:tcPr>
          <w:p>
            <w:r>
              <w:rPr>
                <w:rFonts w:hint="eastAsia"/>
              </w:rPr>
              <w:t xml:space="preserve">137,800,154</w:t>
            </w:r>
          </w:p>
        </w:tc>
        <w:tc>
          <w:tcPr>
            <w:tcW w:w="1732" w:type="dxa"/>
          </w:tcPr>
          <w:p>
            <w:r>
              <w:rPr>
                <w:rFonts w:hint="eastAsia"/>
              </w:rPr>
              <w:t xml:space="preserve">360,998,688</w:t>
            </w:r>
          </w:p>
        </w:tc>
      </w:tr>
      <w:tr>
        <w:trPr>
          <w:cantSplit/>
        </w:trPr>
        <w:tc>
          <w:tcPr>
            <w:tcW w:w="1574" w:type="dxa"/>
          </w:tcPr>
          <w:p>
            <w:r>
              <w:rPr>
                <w:rFonts w:hint="eastAsia"/>
              </w:rPr>
              <w:t xml:space="preserve">2027年1月</w:t>
            </w:r>
          </w:p>
        </w:tc>
        <w:tc>
          <w:tcPr>
            <w:tcW w:w="1734" w:type="dxa"/>
          </w:tcPr>
          <w:p>
            <w:r>
              <w:rPr>
                <w:rFonts w:hint="eastAsia"/>
              </w:rPr>
              <w:t xml:space="preserve">11,990,619</w:t>
            </w:r>
          </w:p>
        </w:tc>
        <w:tc>
          <w:tcPr>
            <w:tcW w:w="1732" w:type="dxa"/>
          </w:tcPr>
          <w:p>
            <w:r>
              <w:rPr>
                <w:rFonts w:hint="eastAsia"/>
              </w:rPr>
              <w:t xml:space="preserve">182,599,348</w:t>
            </w:r>
          </w:p>
        </w:tc>
        <w:tc>
          <w:tcPr>
            <w:tcW w:w="1732" w:type="dxa"/>
          </w:tcPr>
          <w:p>
            <w:r>
              <w:rPr>
                <w:rFonts w:hint="eastAsia"/>
              </w:rPr>
              <w:t xml:space="preserve">172,009,993</w:t>
            </w:r>
          </w:p>
        </w:tc>
        <w:tc>
          <w:tcPr>
            <w:tcW w:w="1732" w:type="dxa"/>
          </w:tcPr>
          <w:p>
            <w:r>
              <w:rPr>
                <w:rFonts w:hint="eastAsia"/>
              </w:rPr>
              <w:t xml:space="preserve">366,599,960</w:t>
            </w:r>
          </w:p>
        </w:tc>
      </w:tr>
      <w:tr>
        <w:trPr>
          <w:cantSplit/>
        </w:trPr>
        <w:tc>
          <w:tcPr>
            <w:tcW w:w="1574" w:type="dxa"/>
          </w:tcPr>
          <w:p>
            <w:r>
              <w:rPr>
                <w:rFonts w:hint="eastAsia"/>
              </w:rPr>
              <w:t xml:space="preserve">2027年2月</w:t>
            </w:r>
          </w:p>
        </w:tc>
        <w:tc>
          <w:tcPr>
            <w:tcW w:w="1734" w:type="dxa"/>
          </w:tcPr>
          <w:p>
            <w:r>
              <w:rPr>
                <w:rFonts w:hint="eastAsia"/>
              </w:rPr>
              <w:t xml:space="preserve">1,319,572</w:t>
            </w:r>
          </w:p>
        </w:tc>
        <w:tc>
          <w:tcPr>
            <w:tcW w:w="1732" w:type="dxa"/>
          </w:tcPr>
          <w:p>
            <w:r>
              <w:rPr>
                <w:rFonts w:hint="eastAsia"/>
              </w:rPr>
              <w:t xml:space="preserve">46,312,038</w:t>
            </w:r>
          </w:p>
        </w:tc>
        <w:tc>
          <w:tcPr>
            <w:tcW w:w="1732" w:type="dxa"/>
          </w:tcPr>
          <w:p>
            <w:r>
              <w:rPr>
                <w:rFonts w:hint="eastAsia"/>
              </w:rPr>
              <w:t xml:space="preserve">310,850,293</w:t>
            </w:r>
          </w:p>
        </w:tc>
        <w:tc>
          <w:tcPr>
            <w:tcW w:w="1732" w:type="dxa"/>
          </w:tcPr>
          <w:p>
            <w:r>
              <w:rPr>
                <w:rFonts w:hint="eastAsia"/>
              </w:rPr>
              <w:t xml:space="preserve">358,481,903</w:t>
            </w:r>
          </w:p>
        </w:tc>
      </w:tr>
      <w:tr>
        <w:trPr>
          <w:cantSplit/>
        </w:trPr>
        <w:tc>
          <w:tcPr>
            <w:tcW w:w="1574" w:type="dxa"/>
          </w:tcPr>
          <w:p>
            <w:r>
              <w:rPr>
                <w:rFonts w:hint="eastAsia"/>
              </w:rPr>
              <w:t xml:space="preserve">2027年3月</w:t>
            </w:r>
          </w:p>
        </w:tc>
        <w:tc>
          <w:tcPr>
            <w:tcW w:w="1734" w:type="dxa"/>
          </w:tcPr>
          <w:p>
            <w:r>
              <w:rPr>
                <w:rFonts w:hint="eastAsia"/>
              </w:rPr>
              <w:t xml:space="preserve">154,543</w:t>
            </w:r>
          </w:p>
        </w:tc>
        <w:tc>
          <w:tcPr>
            <w:tcW w:w="1732" w:type="dxa"/>
          </w:tcPr>
          <w:p>
            <w:r>
              <w:rPr>
                <w:rFonts w:hint="eastAsia"/>
              </w:rPr>
              <w:t xml:space="preserve">48,075,970</w:t>
            </w:r>
          </w:p>
        </w:tc>
        <w:tc>
          <w:tcPr>
            <w:tcW w:w="1732" w:type="dxa"/>
          </w:tcPr>
          <w:p>
            <w:r>
              <w:rPr>
                <w:rFonts w:hint="eastAsia"/>
              </w:rPr>
              <w:t xml:space="preserve">358,840,802</w:t>
            </w:r>
          </w:p>
        </w:tc>
        <w:tc>
          <w:tcPr>
            <w:tcW w:w="1732" w:type="dxa"/>
          </w:tcPr>
          <w:p>
            <w:r>
              <w:rPr>
                <w:rFonts w:hint="eastAsia"/>
              </w:rPr>
              <w:t xml:space="preserve">407,071,315</w:t>
            </w:r>
          </w:p>
        </w:tc>
      </w:tr>
    </w:tbl>
    <w:p/>
    <w:p>
      <w:r>
        <w:rPr>
          <w:rFonts w:hint="eastAsia"/>
        </w:rPr>
        <w:t xml:space="preserve">2027年3月は、内示＋確定だけだと4,823万円しかありません。見込を足して4億707万円となり、他の月と同じ水準になります。</w:t>
      </w:r>
    </w:p>
    <w:p>
      <w:r>
        <w:rPr>
          <w:rFonts w:hint="eastAsia"/>
        </w:rPr>
        <w:t xml:space="preserve">見込はあくまで推計です。客先の生産計画を反映したものではないため、予算との比較では「達成率」(内示＋確定のみ)と「達成率_見込含む」の両方を見てください。月次サマリーには両方を並べています。</w:t>
      </w:r>
    </w:p>
    <w:p>
      <w:pPr>
        <w:pStyle w:val="1"/>
      </w:pPr>
      <w:r>
        <w:rPr>
          <w:rFonts w:hint="eastAsia"/>
        </w:rPr>
        <w:t xml:space="preserve">4. 内示を最終月の前月までに限定</w:t>
      </w:r>
    </w:p>
    <w:p>
      <w:r>
        <w:rPr>
          <w:rFonts w:hint="eastAsia"/>
        </w:rPr>
        <w:t xml:space="preserve">客先から届く内示は、いちばん先の月が月の途中までしか入っていないことがよくあります。ver1.0はそれをそのまま計上していたため、その月だけ実力より小さく見えていました。</w:t>
      </w:r>
    </w:p>
    <w:p>
      <w:r>
        <w:rPr>
          <w:rFonts w:hint="eastAsia"/>
        </w:rPr>
        <w:t xml:space="preserve">ver1.1では、得意先ごとに内示の最終月を調べ、その前月までを内示として採用します。最終月以降は3.の見込に切り替わります。たとえばある得意先の内示が12月まで来ている場合、11月までが内示、12月以降が見込です。</w:t>
      </w:r>
    </w:p>
    <w:p>
      <w:r>
        <w:rPr>
          <w:rFonts w:hint="eastAsia"/>
        </w:rPr>
        <w:t xml:space="preserve">この結果、本レポートの内示金額はPRONESの元クエリをそのまま流した値より小さくなります。先の月ほど最終月を迎える得意先が増えるため、差は先の月ほど大きくなります。2026年8月19日時点、住友の内示を除外した値です。</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932"/>
        <w:gridCol w:w="2126"/>
        <w:gridCol w:w="3094"/>
        <w:gridCol w:w="1352"/>
      </w:tblGrid>
      <w:tr>
        <w:trPr>
          <w:cantSplit/>
          <w:tblHeader/>
        </w:trPr>
        <w:tc>
          <w:tcPr>
            <w:tcW w:w="1932" w:type="dxa"/>
          </w:tcPr>
          <w:p>
            <w:pPr>
              <w:rPr>
                <w:b/>
              </w:rPr>
            </w:pPr>
            <w:r>
              <w:rPr>
                <w:rFonts w:hint="eastAsia"/>
                <w:b/>
              </w:rPr>
              <w:t xml:space="preserve">月</w:t>
            </w:r>
          </w:p>
        </w:tc>
        <w:tc>
          <w:tcPr>
            <w:tcW w:w="2126" w:type="dxa"/>
          </w:tcPr>
          <w:p>
            <w:pPr>
              <w:rPr>
                <w:b/>
              </w:rPr>
            </w:pPr>
            <w:r>
              <w:rPr>
                <w:rFonts w:hint="eastAsia"/>
                <w:b/>
              </w:rPr>
              <w:t xml:space="preserve">限定なし</w:t>
            </w:r>
          </w:p>
        </w:tc>
        <w:tc>
          <w:tcPr>
            <w:tcW w:w="3094" w:type="dxa"/>
          </w:tcPr>
          <w:p>
            <w:pPr>
              <w:rPr>
                <w:b/>
              </w:rPr>
            </w:pPr>
            <w:r>
              <w:rPr>
                <w:rFonts w:hint="eastAsia"/>
                <w:b/>
              </w:rPr>
              <w:t xml:space="preserve">限定あり(ver1.1)</w:t>
            </w:r>
          </w:p>
        </w:tc>
        <w:tc>
          <w:tcPr>
            <w:tcW w:w="1352" w:type="dxa"/>
          </w:tcPr>
          <w:p>
            <w:pPr>
              <w:rPr>
                <w:b/>
              </w:rPr>
            </w:pPr>
            <w:r>
              <w:rPr>
                <w:rFonts w:hint="eastAsia"/>
                <w:b/>
              </w:rPr>
              <w:t xml:space="preserve">差</w:t>
            </w:r>
          </w:p>
        </w:tc>
      </w:tr>
      <w:tr>
        <w:trPr>
          <w:cantSplit/>
        </w:trPr>
        <w:tc>
          <w:tcPr>
            <w:tcW w:w="1932" w:type="dxa"/>
          </w:tcPr>
          <w:p>
            <w:r>
              <w:rPr>
                <w:rFonts w:hint="eastAsia"/>
              </w:rPr>
              <w:t xml:space="preserve">2026年9月</w:t>
            </w:r>
          </w:p>
        </w:tc>
        <w:tc>
          <w:tcPr>
            <w:tcW w:w="2126" w:type="dxa"/>
          </w:tcPr>
          <w:p>
            <w:r>
              <w:rPr>
                <w:rFonts w:hint="eastAsia"/>
              </w:rPr>
              <w:t xml:space="preserve">227,800,918</w:t>
            </w:r>
          </w:p>
        </w:tc>
        <w:tc>
          <w:tcPr>
            <w:tcW w:w="3094" w:type="dxa"/>
          </w:tcPr>
          <w:p>
            <w:r>
              <w:rPr>
                <w:rFonts w:hint="eastAsia"/>
              </w:rPr>
              <w:t xml:space="preserve">227,783,918</w:t>
            </w:r>
          </w:p>
        </w:tc>
        <w:tc>
          <w:tcPr>
            <w:tcW w:w="1352" w:type="dxa"/>
          </w:tcPr>
          <w:p>
            <w:r>
              <w:rPr>
                <w:rFonts w:hint="eastAsia"/>
              </w:rPr>
              <w:t xml:space="preserve">−0.01%</w:t>
            </w:r>
          </w:p>
        </w:tc>
      </w:tr>
      <w:tr>
        <w:trPr>
          <w:cantSplit/>
        </w:trPr>
        <w:tc>
          <w:tcPr>
            <w:tcW w:w="1932" w:type="dxa"/>
          </w:tcPr>
          <w:p>
            <w:r>
              <w:rPr>
                <w:rFonts w:hint="eastAsia"/>
              </w:rPr>
              <w:t xml:space="preserve">2026年10月</w:t>
            </w:r>
          </w:p>
        </w:tc>
        <w:tc>
          <w:tcPr>
            <w:tcW w:w="2126" w:type="dxa"/>
          </w:tcPr>
          <w:p>
            <w:r>
              <w:rPr>
                <w:rFonts w:hint="eastAsia"/>
              </w:rPr>
              <w:t xml:space="preserve">274,864,346</w:t>
            </w:r>
          </w:p>
        </w:tc>
        <w:tc>
          <w:tcPr>
            <w:tcW w:w="3094" w:type="dxa"/>
          </w:tcPr>
          <w:p>
            <w:r>
              <w:rPr>
                <w:rFonts w:hint="eastAsia"/>
              </w:rPr>
              <w:t xml:space="preserve">268,701,243</w:t>
            </w:r>
          </w:p>
        </w:tc>
        <w:tc>
          <w:tcPr>
            <w:tcW w:w="1352" w:type="dxa"/>
          </w:tcPr>
          <w:p>
            <w:r>
              <w:rPr>
                <w:rFonts w:hint="eastAsia"/>
              </w:rPr>
              <w:t xml:space="preserve">−2.24%</w:t>
            </w:r>
          </w:p>
        </w:tc>
      </w:tr>
      <w:tr>
        <w:trPr>
          <w:cantSplit/>
        </w:trPr>
        <w:tc>
          <w:tcPr>
            <w:tcW w:w="1932" w:type="dxa"/>
          </w:tcPr>
          <w:p>
            <w:r>
              <w:rPr>
                <w:rFonts w:hint="eastAsia"/>
              </w:rPr>
              <w:t xml:space="preserve">2026年11月</w:t>
            </w:r>
          </w:p>
        </w:tc>
        <w:tc>
          <w:tcPr>
            <w:tcW w:w="2126" w:type="dxa"/>
          </w:tcPr>
          <w:p>
            <w:r>
              <w:rPr>
                <w:rFonts w:hint="eastAsia"/>
              </w:rPr>
              <w:t xml:space="preserve">246,932,174</w:t>
            </w:r>
          </w:p>
        </w:tc>
        <w:tc>
          <w:tcPr>
            <w:tcW w:w="3094" w:type="dxa"/>
          </w:tcPr>
          <w:p>
            <w:r>
              <w:rPr>
                <w:rFonts w:hint="eastAsia"/>
              </w:rPr>
              <w:t xml:space="preserve">241,545,334</w:t>
            </w:r>
          </w:p>
        </w:tc>
        <w:tc>
          <w:tcPr>
            <w:tcW w:w="1352" w:type="dxa"/>
          </w:tcPr>
          <w:p>
            <w:r>
              <w:rPr>
                <w:rFonts w:hint="eastAsia"/>
              </w:rPr>
              <w:t xml:space="preserve">−2.18%</w:t>
            </w:r>
          </w:p>
        </w:tc>
      </w:tr>
      <w:tr>
        <w:trPr>
          <w:cantSplit/>
        </w:trPr>
        <w:tc>
          <w:tcPr>
            <w:tcW w:w="1932" w:type="dxa"/>
          </w:tcPr>
          <w:p>
            <w:r>
              <w:rPr>
                <w:rFonts w:hint="eastAsia"/>
              </w:rPr>
              <w:t xml:space="preserve">2026年12月</w:t>
            </w:r>
          </w:p>
        </w:tc>
        <w:tc>
          <w:tcPr>
            <w:tcW w:w="2126" w:type="dxa"/>
          </w:tcPr>
          <w:p>
            <w:r>
              <w:rPr>
                <w:rFonts w:hint="eastAsia"/>
              </w:rPr>
              <w:t xml:space="preserve">207,127,338</w:t>
            </w:r>
          </w:p>
        </w:tc>
        <w:tc>
          <w:tcPr>
            <w:tcW w:w="3094" w:type="dxa"/>
          </w:tcPr>
          <w:p>
            <w:r>
              <w:rPr>
                <w:rFonts w:hint="eastAsia"/>
              </w:rPr>
              <w:t xml:space="preserve">206,733,163</w:t>
            </w:r>
          </w:p>
        </w:tc>
        <w:tc>
          <w:tcPr>
            <w:tcW w:w="1352" w:type="dxa"/>
          </w:tcPr>
          <w:p>
            <w:r>
              <w:rPr>
                <w:rFonts w:hint="eastAsia"/>
              </w:rPr>
              <w:t xml:space="preserve">−0.19%</w:t>
            </w:r>
          </w:p>
        </w:tc>
      </w:tr>
    </w:tbl>
    <w:p/>
    <w:p>
      <w:r>
        <w:rPr>
          <w:rFonts w:hint="eastAsia"/>
        </w:rPr>
        <w:t xml:space="preserve">この差は見込に振り替わるだけで、合計(内示＋確定＋見込)は減りません。</w:t>
      </w:r>
    </w:p>
    <w:p>
      <w:pPr>
        <w:pStyle w:val="1"/>
      </w:pPr>
      <w:r>
        <w:rPr>
          <w:rFonts w:hint="eastAsia"/>
        </w:rPr>
        <w:t xml:space="preserve">5. 住友の内示を既定で除外</w:t>
      </w:r>
    </w:p>
    <w:p>
      <w:r>
        <w:rPr>
          <w:rFonts w:hint="eastAsia"/>
        </w:rPr>
        <w:t xml:space="preserve">イチネンアクセス(住友)は、確定と内示の両方が満額で届くため、単純に足すと約2倍になります。手作業Excelでも作成者が「住友だけ消している。住友はすべて確定とみなす」と注記のうえ手で削除していました。ver1.0はこれを再現していなかったため、住友の分が二重に乗っていました。</w:t>
      </w:r>
    </w:p>
    <w:p>
      <w:r>
        <w:rPr>
          <w:rFonts w:hint="eastAsia"/>
        </w:rPr>
        <w:t xml:space="preserve">根拠となる実測値です。先々の月(9〜11月)の確定だけで、その得意先の平常月(1〜7月の確定の月平均)をどれだけ満たしているかを比べたものです。</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494"/>
        <w:gridCol w:w="2267"/>
        <w:gridCol w:w="2593"/>
        <w:gridCol w:w="1150"/>
      </w:tblGrid>
      <w:tr>
        <w:trPr>
          <w:cantSplit/>
          <w:tblHeader/>
        </w:trPr>
        <w:tc>
          <w:tcPr>
            <w:tcW w:w="2494" w:type="dxa"/>
          </w:tcPr>
          <w:p>
            <w:pPr>
              <w:rPr>
                <w:b/>
              </w:rPr>
            </w:pPr>
            <w:r>
              <w:rPr>
                <w:rFonts w:hint="eastAsia"/>
                <w:b/>
              </w:rPr>
              <w:t xml:space="preserve">得意先</w:t>
            </w:r>
          </w:p>
        </w:tc>
        <w:tc>
          <w:tcPr>
            <w:tcW w:w="2267" w:type="dxa"/>
          </w:tcPr>
          <w:p>
            <w:pPr>
              <w:rPr>
                <w:b/>
              </w:rPr>
            </w:pPr>
            <w:r>
              <w:rPr>
                <w:rFonts w:hint="eastAsia"/>
                <w:b/>
              </w:rPr>
              <w:t xml:space="preserve">1〜7月の月平均(確定)</w:t>
            </w:r>
          </w:p>
        </w:tc>
        <w:tc>
          <w:tcPr>
            <w:tcW w:w="2593" w:type="dxa"/>
          </w:tcPr>
          <w:p>
            <w:pPr>
              <w:rPr>
                <w:b/>
              </w:rPr>
            </w:pPr>
            <w:r>
              <w:rPr>
                <w:rFonts w:hint="eastAsia"/>
                <w:b/>
              </w:rPr>
              <w:t xml:space="preserve">9〜11月の月平均(確定のみ)</w:t>
            </w:r>
          </w:p>
        </w:tc>
        <w:tc>
          <w:tcPr>
            <w:tcW w:w="1150" w:type="dxa"/>
          </w:tcPr>
          <w:p>
            <w:pPr>
              <w:rPr>
                <w:b/>
              </w:rPr>
            </w:pPr>
            <w:r>
              <w:rPr>
                <w:rFonts w:hint="eastAsia"/>
                <w:b/>
              </w:rPr>
              <w:t xml:space="preserve">平常月比</w:t>
            </w:r>
          </w:p>
        </w:tc>
      </w:tr>
      <w:tr>
        <w:trPr>
          <w:cantSplit/>
        </w:trPr>
        <w:tc>
          <w:tcPr>
            <w:tcW w:w="2494" w:type="dxa"/>
          </w:tcPr>
          <w:p>
            <w:r>
              <w:rPr>
                <w:rFonts w:hint="eastAsia"/>
              </w:rPr>
              <w:t xml:space="preserve">イチネンアクセス(住友)</w:t>
            </w:r>
          </w:p>
        </w:tc>
        <w:tc>
          <w:tcPr>
            <w:tcW w:w="2267" w:type="dxa"/>
          </w:tcPr>
          <w:p>
            <w:r>
              <w:rPr>
                <w:rFonts w:hint="eastAsia"/>
              </w:rPr>
              <w:t xml:space="preserve">40,326,582</w:t>
            </w:r>
          </w:p>
        </w:tc>
        <w:tc>
          <w:tcPr>
            <w:tcW w:w="2593" w:type="dxa"/>
          </w:tcPr>
          <w:p>
            <w:r>
              <w:rPr>
                <w:rFonts w:hint="eastAsia"/>
              </w:rPr>
              <w:t xml:space="preserve">45,404,921</w:t>
            </w:r>
          </w:p>
        </w:tc>
        <w:tc>
          <w:tcPr>
            <w:tcW w:w="1150" w:type="dxa"/>
          </w:tcPr>
          <w:p>
            <w:r>
              <w:rPr>
                <w:rFonts w:hint="eastAsia"/>
              </w:rPr>
              <w:t xml:space="preserve">113%</w:t>
            </w:r>
          </w:p>
        </w:tc>
      </w:tr>
      <w:tr>
        <w:trPr>
          <w:cantSplit/>
        </w:trPr>
        <w:tc>
          <w:tcPr>
            <w:tcW w:w="2494" w:type="dxa"/>
          </w:tcPr>
          <w:p>
            <w:r>
              <w:rPr>
                <w:rFonts w:hint="eastAsia"/>
              </w:rPr>
              <w:t xml:space="preserve">竹内製作所</w:t>
            </w:r>
          </w:p>
        </w:tc>
        <w:tc>
          <w:tcPr>
            <w:tcW w:w="2267" w:type="dxa"/>
          </w:tcPr>
          <w:p>
            <w:r>
              <w:rPr>
                <w:rFonts w:hint="eastAsia"/>
              </w:rPr>
              <w:t xml:space="preserve">14,078,485</w:t>
            </w:r>
          </w:p>
        </w:tc>
        <w:tc>
          <w:tcPr>
            <w:tcW w:w="2593" w:type="dxa"/>
          </w:tcPr>
          <w:p>
            <w:r>
              <w:rPr>
                <w:rFonts w:hint="eastAsia"/>
              </w:rPr>
              <w:t xml:space="preserve">6,969,248</w:t>
            </w:r>
          </w:p>
        </w:tc>
        <w:tc>
          <w:tcPr>
            <w:tcW w:w="1150" w:type="dxa"/>
          </w:tcPr>
          <w:p>
            <w:r>
              <w:rPr>
                <w:rFonts w:hint="eastAsia"/>
              </w:rPr>
              <w:t xml:space="preserve">50%</w:t>
            </w:r>
          </w:p>
        </w:tc>
      </w:tr>
      <w:tr>
        <w:trPr>
          <w:cantSplit/>
        </w:trPr>
        <w:tc>
          <w:tcPr>
            <w:tcW w:w="2494" w:type="dxa"/>
          </w:tcPr>
          <w:p>
            <w:r>
              <w:rPr>
                <w:rFonts w:hint="eastAsia"/>
              </w:rPr>
              <w:t xml:space="preserve">コベルコ建機</w:t>
            </w:r>
          </w:p>
        </w:tc>
        <w:tc>
          <w:tcPr>
            <w:tcW w:w="2267" w:type="dxa"/>
          </w:tcPr>
          <w:p>
            <w:r>
              <w:rPr>
                <w:rFonts w:hint="eastAsia"/>
              </w:rPr>
              <w:t xml:space="preserve">43,204,747</w:t>
            </w:r>
          </w:p>
        </w:tc>
        <w:tc>
          <w:tcPr>
            <w:tcW w:w="2593" w:type="dxa"/>
          </w:tcPr>
          <w:p>
            <w:r>
              <w:rPr>
                <w:rFonts w:hint="eastAsia"/>
              </w:rPr>
              <w:t xml:space="preserve">8,283,097</w:t>
            </w:r>
          </w:p>
        </w:tc>
        <w:tc>
          <w:tcPr>
            <w:tcW w:w="1150" w:type="dxa"/>
          </w:tcPr>
          <w:p>
            <w:r>
              <w:rPr>
                <w:rFonts w:hint="eastAsia"/>
              </w:rPr>
              <w:t xml:space="preserve">19%</w:t>
            </w:r>
          </w:p>
        </w:tc>
      </w:tr>
      <w:tr>
        <w:trPr>
          <w:cantSplit/>
        </w:trPr>
        <w:tc>
          <w:tcPr>
            <w:tcW w:w="2494" w:type="dxa"/>
          </w:tcPr>
          <w:p>
            <w:r>
              <w:rPr>
                <w:rFonts w:hint="eastAsia"/>
              </w:rPr>
              <w:t xml:space="preserve">日立建機</w:t>
            </w:r>
          </w:p>
        </w:tc>
        <w:tc>
          <w:tcPr>
            <w:tcW w:w="2267" w:type="dxa"/>
          </w:tcPr>
          <w:p>
            <w:r>
              <w:rPr>
                <w:rFonts w:hint="eastAsia"/>
              </w:rPr>
              <w:t xml:space="preserve">101,045,308</w:t>
            </w:r>
          </w:p>
        </w:tc>
        <w:tc>
          <w:tcPr>
            <w:tcW w:w="2593" w:type="dxa"/>
          </w:tcPr>
          <w:p>
            <w:r>
              <w:rPr>
                <w:rFonts w:hint="eastAsia"/>
              </w:rPr>
              <w:t xml:space="preserve">12,194,057</w:t>
            </w:r>
          </w:p>
        </w:tc>
        <w:tc>
          <w:tcPr>
            <w:tcW w:w="1150" w:type="dxa"/>
          </w:tcPr>
          <w:p>
            <w:r>
              <w:rPr>
                <w:rFonts w:hint="eastAsia"/>
              </w:rPr>
              <w:t xml:space="preserve">12%</w:t>
            </w:r>
          </w:p>
        </w:tc>
      </w:tr>
      <w:tr>
        <w:trPr>
          <w:cantSplit/>
        </w:trPr>
        <w:tc>
          <w:tcPr>
            <w:tcW w:w="2494" w:type="dxa"/>
          </w:tcPr>
          <w:p>
            <w:r>
              <w:rPr>
                <w:rFonts w:hint="eastAsia"/>
              </w:rPr>
              <w:t xml:space="preserve">キャタピラージャパン</w:t>
            </w:r>
          </w:p>
        </w:tc>
        <w:tc>
          <w:tcPr>
            <w:tcW w:w="2267" w:type="dxa"/>
          </w:tcPr>
          <w:p>
            <w:r>
              <w:rPr>
                <w:rFonts w:hint="eastAsia"/>
              </w:rPr>
              <w:t xml:space="preserve">36,209,677</w:t>
            </w:r>
          </w:p>
        </w:tc>
        <w:tc>
          <w:tcPr>
            <w:tcW w:w="2593" w:type="dxa"/>
          </w:tcPr>
          <w:p>
            <w:r>
              <w:rPr>
                <w:rFonts w:hint="eastAsia"/>
              </w:rPr>
              <w:t xml:space="preserve">2,179,505</w:t>
            </w:r>
          </w:p>
        </w:tc>
        <w:tc>
          <w:tcPr>
            <w:tcW w:w="1150" w:type="dxa"/>
          </w:tcPr>
          <w:p>
            <w:r>
              <w:rPr>
                <w:rFonts w:hint="eastAsia"/>
              </w:rPr>
              <w:t xml:space="preserve">6%</w:t>
            </w:r>
          </w:p>
        </w:tc>
      </w:tr>
    </w:tbl>
    <w:p/>
    <w:p>
      <w:r>
        <w:rPr>
          <w:rFonts w:hint="eastAsia"/>
        </w:rPr>
        <w:t xml:space="preserve">先々の月であるにもかかわらず、住友だけ確定単体で平常月を超えています。他社は6〜50%で、残りを内示が埋める形になっています。同じ症状の得意先は、1〜7月の確定が2,000万円を超え、かつ先の月に内示がある得意先13社を調べた範囲では他にありません(2026年8月27日時点)。</w:t>
      </w:r>
    </w:p>
    <w:p>
      <w:r>
        <w:rPr>
          <w:rFonts w:hint="eastAsia"/>
        </w:rPr>
        <w:t xml:space="preserve">除外による内示額の変化です(2026年8月27日時点)。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394"/>
        <w:gridCol w:w="1533"/>
        <w:gridCol w:w="3905"/>
        <w:gridCol w:w="1672"/>
      </w:tblGrid>
      <w:tr>
        <w:trPr>
          <w:cantSplit/>
          <w:tblHeader/>
        </w:trPr>
        <w:tc>
          <w:tcPr>
            <w:tcW w:w="1394" w:type="dxa"/>
          </w:tcPr>
          <w:p>
            <w:pPr>
              <w:rPr>
                <w:b/>
              </w:rPr>
            </w:pPr>
            <w:r>
              <w:rPr>
                <w:rFonts w:hint="eastAsia"/>
                <w:b/>
              </w:rPr>
              <w:t xml:space="preserve">月</w:t>
            </w:r>
          </w:p>
        </w:tc>
        <w:tc>
          <w:tcPr>
            <w:tcW w:w="1533" w:type="dxa"/>
          </w:tcPr>
          <w:p>
            <w:pPr>
              <w:rPr>
                <w:b/>
              </w:rPr>
            </w:pPr>
            <w:r>
              <w:rPr>
                <w:rFonts w:hint="eastAsia"/>
                <w:b/>
              </w:rPr>
              <w:t xml:space="preserve">住友を含む</w:t>
            </w:r>
          </w:p>
        </w:tc>
        <w:tc>
          <w:tcPr>
            <w:tcW w:w="3905" w:type="dxa"/>
          </w:tcPr>
          <w:p>
            <w:pPr>
              <w:rPr>
                <w:b/>
              </w:rPr>
            </w:pPr>
            <w:r>
              <w:rPr>
                <w:rFonts w:hint="eastAsia"/>
                <w:b/>
              </w:rPr>
              <w:t xml:space="preserve">住友の内示を除外(ver1.1既定)</w:t>
            </w:r>
          </w:p>
        </w:tc>
        <w:tc>
          <w:tcPr>
            <w:tcW w:w="1672" w:type="dxa"/>
          </w:tcPr>
          <w:p>
            <w:pPr>
              <w:rPr>
                <w:b/>
              </w:rPr>
            </w:pPr>
            <w:r>
              <w:rPr>
                <w:rFonts w:hint="eastAsia"/>
                <w:b/>
              </w:rPr>
              <w:t xml:space="preserve">差</w:t>
            </w:r>
          </w:p>
        </w:tc>
      </w:tr>
      <w:tr>
        <w:trPr>
          <w:cantSplit/>
        </w:trPr>
        <w:tc>
          <w:tcPr>
            <w:tcW w:w="1394" w:type="dxa"/>
          </w:tcPr>
          <w:p>
            <w:r>
              <w:rPr>
                <w:rFonts w:hint="eastAsia"/>
              </w:rPr>
              <w:t xml:space="preserve">2026年8月</w:t>
            </w:r>
          </w:p>
        </w:tc>
        <w:tc>
          <w:tcPr>
            <w:tcW w:w="1533" w:type="dxa"/>
          </w:tcPr>
          <w:p>
            <w:r>
              <w:rPr>
                <w:rFonts w:hint="eastAsia"/>
              </w:rPr>
              <w:t xml:space="preserve">15,510,831</w:t>
            </w:r>
          </w:p>
        </w:tc>
        <w:tc>
          <w:tcPr>
            <w:tcW w:w="3905" w:type="dxa"/>
          </w:tcPr>
          <w:p>
            <w:r>
              <w:rPr>
                <w:rFonts w:hint="eastAsia"/>
              </w:rPr>
              <w:t xml:space="preserve">22,940</w:t>
            </w:r>
          </w:p>
        </w:tc>
        <w:tc>
          <w:tcPr>
            <w:tcW w:w="1672" w:type="dxa"/>
          </w:tcPr>
          <w:p>
            <w:r>
              <w:rPr>
                <w:rFonts w:hint="eastAsia"/>
              </w:rPr>
              <w:t xml:space="preserve">−15,487,891</w:t>
            </w:r>
          </w:p>
        </w:tc>
      </w:tr>
      <w:tr>
        <w:trPr>
          <w:cantSplit/>
        </w:trPr>
        <w:tc>
          <w:tcPr>
            <w:tcW w:w="1394" w:type="dxa"/>
          </w:tcPr>
          <w:p>
            <w:r>
              <w:rPr>
                <w:rFonts w:hint="eastAsia"/>
              </w:rPr>
              <w:t xml:space="preserve">2026年9月</w:t>
            </w:r>
          </w:p>
        </w:tc>
        <w:tc>
          <w:tcPr>
            <w:tcW w:w="1533" w:type="dxa"/>
          </w:tcPr>
          <w:p>
            <w:r>
              <w:rPr>
                <w:rFonts w:hint="eastAsia"/>
              </w:rPr>
              <w:t xml:space="preserve">211,966,440</w:t>
            </w:r>
          </w:p>
        </w:tc>
        <w:tc>
          <w:tcPr>
            <w:tcW w:w="3905" w:type="dxa"/>
          </w:tcPr>
          <w:p>
            <w:r>
              <w:rPr>
                <w:rFonts w:hint="eastAsia"/>
              </w:rPr>
              <w:t xml:space="preserve">166,820,074</w:t>
            </w:r>
          </w:p>
        </w:tc>
        <w:tc>
          <w:tcPr>
            <w:tcW w:w="1672" w:type="dxa"/>
          </w:tcPr>
          <w:p>
            <w:r>
              <w:rPr>
                <w:rFonts w:hint="eastAsia"/>
              </w:rPr>
              <w:t xml:space="preserve">−45,146,366</w:t>
            </w:r>
          </w:p>
        </w:tc>
      </w:tr>
      <w:tr>
        <w:trPr>
          <w:cantSplit/>
        </w:trPr>
        <w:tc>
          <w:tcPr>
            <w:tcW w:w="1394" w:type="dxa"/>
          </w:tcPr>
          <w:p>
            <w:r>
              <w:rPr>
                <w:rFonts w:hint="eastAsia"/>
              </w:rPr>
              <w:t xml:space="preserve">2026年10月</w:t>
            </w:r>
          </w:p>
        </w:tc>
        <w:tc>
          <w:tcPr>
            <w:tcW w:w="1533" w:type="dxa"/>
          </w:tcPr>
          <w:p>
            <w:r>
              <w:rPr>
                <w:rFonts w:hint="eastAsia"/>
              </w:rPr>
              <w:t xml:space="preserve">313,022,276</w:t>
            </w:r>
          </w:p>
        </w:tc>
        <w:tc>
          <w:tcPr>
            <w:tcW w:w="3905" w:type="dxa"/>
          </w:tcPr>
          <w:p>
            <w:r>
              <w:rPr>
                <w:rFonts w:hint="eastAsia"/>
              </w:rPr>
              <w:t xml:space="preserve">274,760,423</w:t>
            </w:r>
          </w:p>
        </w:tc>
        <w:tc>
          <w:tcPr>
            <w:tcW w:w="1672" w:type="dxa"/>
          </w:tcPr>
          <w:p>
            <w:r>
              <w:rPr>
                <w:rFonts w:hint="eastAsia"/>
              </w:rPr>
              <w:t xml:space="preserve">−38,261,853</w:t>
            </w:r>
          </w:p>
        </w:tc>
      </w:tr>
      <w:tr>
        <w:trPr>
          <w:cantSplit/>
        </w:trPr>
        <w:tc>
          <w:tcPr>
            <w:tcW w:w="1394" w:type="dxa"/>
          </w:tcPr>
          <w:p>
            <w:r>
              <w:rPr>
                <w:rFonts w:hint="eastAsia"/>
              </w:rPr>
              <w:t xml:space="preserve">2026年11月</w:t>
            </w:r>
          </w:p>
        </w:tc>
        <w:tc>
          <w:tcPr>
            <w:tcW w:w="1533" w:type="dxa"/>
          </w:tcPr>
          <w:p>
            <w:r>
              <w:rPr>
                <w:rFonts w:hint="eastAsia"/>
              </w:rPr>
              <w:t xml:space="preserve">291,222,306</w:t>
            </w:r>
          </w:p>
        </w:tc>
        <w:tc>
          <w:tcPr>
            <w:tcW w:w="3905" w:type="dxa"/>
          </w:tcPr>
          <w:p>
            <w:r>
              <w:rPr>
                <w:rFonts w:hint="eastAsia"/>
              </w:rPr>
              <w:t xml:space="preserve">246,717,773</w:t>
            </w:r>
          </w:p>
        </w:tc>
        <w:tc>
          <w:tcPr>
            <w:tcW w:w="1672" w:type="dxa"/>
          </w:tcPr>
          <w:p>
            <w:r>
              <w:rPr>
                <w:rFonts w:hint="eastAsia"/>
              </w:rPr>
              <w:t xml:space="preserve">−44,504,533</w:t>
            </w:r>
          </w:p>
        </w:tc>
      </w:tr>
      <w:tr>
        <w:trPr>
          <w:cantSplit/>
        </w:trPr>
        <w:tc>
          <w:tcPr>
            <w:tcW w:w="1394" w:type="dxa"/>
          </w:tcPr>
          <w:p>
            <w:r>
              <w:rPr>
                <w:rFonts w:hint="eastAsia"/>
              </w:rPr>
              <w:t xml:space="preserve">2026年12月</w:t>
            </w:r>
          </w:p>
        </w:tc>
        <w:tc>
          <w:tcPr>
            <w:tcW w:w="1533" w:type="dxa"/>
          </w:tcPr>
          <w:p>
            <w:r>
              <w:rPr>
                <w:rFonts w:hint="eastAsia"/>
              </w:rPr>
              <w:t xml:space="preserve">209,367,615</w:t>
            </w:r>
          </w:p>
        </w:tc>
        <w:tc>
          <w:tcPr>
            <w:tcW w:w="3905" w:type="dxa"/>
          </w:tcPr>
          <w:p>
            <w:r>
              <w:rPr>
                <w:rFonts w:hint="eastAsia"/>
              </w:rPr>
              <w:t xml:space="preserve">209,367,615</w:t>
            </w:r>
          </w:p>
        </w:tc>
        <w:tc>
          <w:tcPr>
            <w:tcW w:w="1672" w:type="dxa"/>
          </w:tcPr>
          <w:p>
            <w:r>
              <w:rPr>
                <w:rFonts w:hint="eastAsia"/>
              </w:rPr>
              <w:t xml:space="preserve">0</w:t>
            </w:r>
          </w:p>
        </w:tc>
      </w:tr>
    </w:tbl>
    <w:p/>
    <w:p>
      <w:r>
        <w:rPr>
          <w:rFonts w:hint="eastAsia"/>
        </w:rPr>
        <w:t xml:space="preserve">12月は住友の内示が1件も無いため、差がありません。</w:t>
      </w:r>
    </w:p>
    <w:p>
      <w:r>
        <w:rPr>
          <w:rFonts w:hint="eastAsia"/>
        </w:rPr>
        <w:t xml:space="preserve">操作方法: 上段左端に「集計に含める」スライサーを新設しました。既定は「通常」だけが選ばれた状態で、住友の内示が除外されています。「住友の内示」を追加で選ぶと含めた数値に戻ります。除外しているのは住友の内示だけで、住友の確定は常に含まれています。</w:t>
      </w:r>
    </w:p>
    <w:p>
      <w:r>
        <w:rPr>
          <w:rFonts w:hint="eastAsia"/>
        </w:rPr>
        <w:t xml:space="preserve">この判別はPRONESの区分コード(F_区分)ではできません。住友の区分99は他に28社が使っており、その中には二重計上していない得意先も含まれるためです。得意先番号(1724601)で指定しています。</w:t>
      </w:r>
    </w:p>
    <w:p>
      <w:pPr>
        <w:pStyle w:val="1"/>
      </w:pPr>
      <w:r>
        <w:rPr>
          <w:rFonts w:hint="eastAsia"/>
        </w:rPr>
        <w:t xml:space="preserve">6. 表示期間を当年1月起点に変更</w:t>
      </w:r>
    </w:p>
    <w:p>
      <w:r>
        <w:rPr>
          <w:rFonts w:hint="eastAsia"/>
        </w:rPr>
        <w:t xml:space="preserve">ver1.0のカレンダーは実行時点の前月から始まっていたため、期初からの推移が見えませんでした。ver1.1では当年1月から13か月後までに変更しています。2026年8月に実行した場合、26年01月から27年09月までが選べます。</w:t>
      </w:r>
    </w:p>
    <w:p>
      <w:r>
        <w:rPr>
          <w:rFonts w:hint="eastAsia"/>
        </w:rPr>
        <w:t xml:space="preserve">年月スライサーの初期状態は26年07月以降がすべて選択済みです。過去の月を見たい場合はスライサーで26年01月まで遡って選べます。年が変わればカレンダーの起点も自動で移動します。</w:t>
      </w:r>
    </w:p>
    <w:p>
      <w:pPr>
        <w:pStyle w:val="1"/>
      </w:pPr>
      <w:r>
        <w:rPr>
          <w:rFonts w:hint="eastAsia"/>
        </w:rPr>
        <w:t xml:space="preserve">7. 得意先区分スライサーを個社まで展開可能に</w:t>
      </w:r>
    </w:p>
    <w:p>
      <w:r>
        <w:rPr>
          <w:rFonts w:hint="eastAsia"/>
        </w:rPr>
        <w:t xml:space="preserve">ver1.0の得意先区分スライサーは区分までしか選べませんでした。ver1.1では階層スライサーに変更し、区分の左にある矢印(∨)をクリックすると個別の得意先まで展開して選べます。</w:t>
      </w:r>
    </w:p>
    <w:p>
      <w:pPr>
        <w:pStyle w:val="1"/>
      </w:pPr>
      <w:r>
        <w:rPr>
          <w:rFonts w:hint="eastAsia"/>
        </w:rPr>
        <w:t xml:space="preserve">画面で増えたもの</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700"/>
        <w:gridCol w:w="2905"/>
        <w:gridCol w:w="3899"/>
      </w:tblGrid>
      <w:tr>
        <w:trPr>
          <w:cantSplit/>
          <w:tblHeader/>
        </w:trPr>
        <w:tc>
          <w:tcPr>
            <w:tcW w:w="1700" w:type="dxa"/>
          </w:tcPr>
          <w:p>
            <w:pPr>
              <w:rPr>
                <w:b/>
              </w:rPr>
            </w:pPr>
            <w:r>
              <w:rPr>
                <w:rFonts w:hint="eastAsia"/>
                <w:b/>
              </w:rPr>
              <w:t xml:space="preserve">場所</w:t>
            </w:r>
          </w:p>
        </w:tc>
        <w:tc>
          <w:tcPr>
            <w:tcW w:w="2905" w:type="dxa"/>
          </w:tcPr>
          <w:p>
            <w:pPr>
              <w:rPr>
                <w:b/>
              </w:rPr>
            </w:pPr>
            <w:r>
              <w:rPr>
                <w:rFonts w:hint="eastAsia"/>
                <w:b/>
              </w:rPr>
              <w:t xml:space="preserve">ver1.0</w:t>
            </w:r>
          </w:p>
        </w:tc>
        <w:tc>
          <w:tcPr>
            <w:tcW w:w="3899" w:type="dxa"/>
          </w:tcPr>
          <w:p>
            <w:pPr>
              <w:rPr>
                <w:b/>
              </w:rPr>
            </w:pPr>
            <w:r>
              <w:rPr>
                <w:rFonts w:hint="eastAsia"/>
                <w:b/>
              </w:rPr>
              <w:t xml:space="preserve">ver1.1</w:t>
            </w:r>
          </w:p>
        </w:tc>
      </w:tr>
      <w:tr>
        <w:trPr>
          <w:cantSplit/>
        </w:trPr>
        <w:tc>
          <w:tcPr>
            <w:tcW w:w="1700" w:type="dxa"/>
          </w:tcPr>
          <w:p>
            <w:r>
              <w:rPr>
                <w:rFonts w:hint="eastAsia"/>
              </w:rPr>
              <w:t xml:space="preserve">スライサー</w:t>
            </w:r>
          </w:p>
        </w:tc>
        <w:tc>
          <w:tcPr>
            <w:tcW w:w="2905" w:type="dxa"/>
          </w:tcPr>
          <w:p>
            <w:r>
              <w:rPr>
                <w:rFonts w:hint="eastAsia"/>
              </w:rPr>
              <w:t xml:space="preserve">3つ(得意先区分・計画区分・年月)</w:t>
            </w:r>
          </w:p>
        </w:tc>
        <w:tc>
          <w:tcPr>
            <w:tcW w:w="3899" w:type="dxa"/>
          </w:tcPr>
          <w:p>
            <w:r>
              <w:rPr>
                <w:rFonts w:hint="eastAsia"/>
              </w:rPr>
              <w:t xml:space="preserve">4つ(集計に含める を追加。得意先区分は階層化)</w:t>
            </w:r>
          </w:p>
        </w:tc>
      </w:tr>
      <w:tr>
        <w:trPr>
          <w:cantSplit/>
        </w:trPr>
        <w:tc>
          <w:tcPr>
            <w:tcW w:w="1700" w:type="dxa"/>
          </w:tcPr>
          <w:p>
            <w:r>
              <w:rPr>
                <w:rFonts w:hint="eastAsia"/>
              </w:rPr>
              <w:t xml:space="preserve">月次サマリー</w:t>
            </w:r>
          </w:p>
        </w:tc>
        <w:tc>
          <w:tcPr>
            <w:tcW w:w="2905" w:type="dxa"/>
          </w:tcPr>
          <w:p>
            <w:r>
              <w:rPr>
                <w:rFonts w:hint="eastAsia"/>
              </w:rPr>
              <w:t xml:space="preserve">5列(予算・内示・確定・内示＋確定・達成率)</w:t>
            </w:r>
          </w:p>
        </w:tc>
        <w:tc>
          <w:tcPr>
            <w:tcW w:w="3899" w:type="dxa"/>
          </w:tcPr>
          <w:p>
            <w:r>
              <w:rPr>
                <w:rFonts w:hint="eastAsia"/>
              </w:rPr>
              <w:t xml:space="preserve">8列(見込金額・内示＋確定＋見込・達成率_見込含む を追加)</w:t>
            </w:r>
          </w:p>
        </w:tc>
      </w:tr>
      <w:tr>
        <w:trPr>
          <w:cantSplit/>
        </w:trPr>
        <w:tc>
          <w:tcPr>
            <w:tcW w:w="1700" w:type="dxa"/>
          </w:tcPr>
          <w:p>
            <w:r>
              <w:rPr>
                <w:rFonts w:hint="eastAsia"/>
              </w:rPr>
              <w:t xml:space="preserve">月次推移グラフ</w:t>
            </w:r>
          </w:p>
        </w:tc>
        <w:tc>
          <w:tcPr>
            <w:tcW w:w="2905" w:type="dxa"/>
          </w:tcPr>
          <w:p>
            <w:r>
              <w:rPr>
                <w:rFonts w:hint="eastAsia"/>
              </w:rPr>
              <w:t xml:space="preserve">棒は確定・内示の2本</w:t>
            </w:r>
          </w:p>
        </w:tc>
        <w:tc>
          <w:tcPr>
            <w:tcW w:w="3899" w:type="dxa"/>
          </w:tcPr>
          <w:p>
            <w:r>
              <w:rPr>
                <w:rFonts w:hint="eastAsia"/>
              </w:rPr>
              <w:t xml:space="preserve">棒は確定・内示・見込の3本</w:t>
            </w:r>
          </w:p>
        </w:tc>
      </w:tr>
      <w:tr>
        <w:trPr>
          <w:cantSplit/>
        </w:trPr>
        <w:tc>
          <w:tcPr>
            <w:tcW w:w="1700" w:type="dxa"/>
          </w:tcPr>
          <w:p>
            <w:r>
              <w:rPr>
                <w:rFonts w:hint="eastAsia"/>
              </w:rPr>
              <w:t xml:space="preserve">得意先区分別マトリックス</w:t>
            </w:r>
          </w:p>
        </w:tc>
        <w:tc>
          <w:tcPr>
            <w:tcW w:w="2905" w:type="dxa"/>
          </w:tcPr>
          <w:p>
            <w:r>
              <w:rPr>
                <w:rFonts w:hint="eastAsia"/>
              </w:rPr>
              <w:t xml:space="preserve">値は 内示＋確定</w:t>
            </w:r>
          </w:p>
        </w:tc>
        <w:tc>
          <w:tcPr>
            <w:tcW w:w="3899" w:type="dxa"/>
          </w:tcPr>
          <w:p>
            <w:r>
              <w:rPr>
                <w:rFonts w:hint="eastAsia"/>
              </w:rPr>
              <w:t xml:space="preserve">値は 内示＋確定＋見込</w:t>
            </w:r>
          </w:p>
        </w:tc>
      </w:tr>
    </w:tbl>
    <w:p/>
    <w:p>
      <w:pPr>
        <w:pStyle w:val="1"/>
      </w:pPr>
      <w:r>
        <w:rPr>
          <w:rFonts w:hint="eastAsia"/>
        </w:rPr>
        <w:t xml:space="preserve">変わっていないこと</w:t>
      </w:r>
    </w:p>
    <w:p>
      <w:r>
        <w:rPr>
          <w:rFonts w:hint="eastAsia"/>
        </w:rPr>
        <w:t xml:space="preserve">予算の入力方法とファイルの場所(C:\PowerBI\売上予想\売上予算.xlsx)は変わっていません。列の構成も同じです。</w:t>
      </w:r>
    </w:p>
    <w:p>
      <w:r>
        <w:rPr>
          <w:rFonts w:hint="eastAsia"/>
        </w:rPr>
        <w:t xml:space="preserve">得意先区分の対応表は粗利確認レポートと同じものを使い続けています。</w:t>
      </w:r>
    </w:p>
    <w:p>
      <w:r>
        <w:rPr>
          <w:rFonts w:hint="eastAsia"/>
        </w:rPr>
        <w:t xml:space="preserve">接続先(ゲートウェイ bee_tanaka / Oracleデータソース prones_2)も変わっていません。</w:t>
      </w:r>
    </w:p>
    <w:p>
      <w:r>
        <w:rPr>
          <w:rFonts w:hint="eastAsia"/>
        </w:rPr>
        <w:t xml:space="preserve">確定の考え方(納入指定日の月で、出荷済み・未出荷を問わず注文全量を計上する)は変わっていません。</w:t>
      </w:r>
    </w:p>
    <w:p>
      <w:pPr>
        <w:pStyle w:val="1"/>
      </w:pPr>
      <w:r>
        <w:rPr>
          <w:rFonts w:hint="eastAsia"/>
        </w:rPr>
        <w:t xml:space="preserve">未解決の論点</w:t>
      </w:r>
    </w:p>
    <w:p>
      <w:r>
        <w:rPr>
          <w:rFonts w:hint="eastAsia"/>
        </w:rPr>
        <w:t xml:space="preserve">手作業Excelの内示と本レポートの値は、11月で−3.9%、12月で−7.7%の差が残っています。基準日を8月3日〜8月21日で振っても一致する日付はなく、しかも9月はより早い日付を、12月はより遅い日付を要求するため、単一の基準日のずれでは説明できません。</w:t>
      </w:r>
    </w:p>
    <w:p>
      <w:r>
        <w:rPr>
          <w:rFonts w:hint="eastAsia"/>
        </w:rPr>
        <w:t xml:space="preserve">Excelの各月のセルが別々の日に貼られた、あるいは貼った後に手で調整されたといった運用面の要因が考えられます。数値を入力した方に、各月の内示をいつ取得したか、住友以外に手作業で調整していないかをご確認いただけると解決できます。</w:t>
      </w:r>
    </w:p>
    <w:p>
      <w:r>
        <w:rPr>
          <w:rFonts w:hint="eastAsia"/>
        </w:rPr>
        <w:t xml:space="preserve">なお12月については住友の内示が存在しないため、住友の扱いでは説明できないことが確認できています。</w:t>
      </w:r>
    </w:p>
    <w:sectPr w:rsidR="00D04818" w:rsidRPr="00D04818">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818"/>
    <w:rsid w:val="00D04818"/>
    <w:rsid w:val="00D23271"/>
    <w:rsid w:val="00D40AE8"/>
    <w:rsid w:val="00D9078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DFA4163"/>
  <w15:chartTrackingRefBased/>
  <w15:docId w15:val="{24787FC9-A63C-44D4-9AC7-57F140FF3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0481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D0481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D04818"/>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D0481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D0481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D0481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D0481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D0481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D0481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04818"/>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D04818"/>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D04818"/>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D04818"/>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04818"/>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04818"/>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04818"/>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04818"/>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04818"/>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0481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0481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0481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0481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04818"/>
    <w:pPr>
      <w:spacing w:before="160" w:after="160"/>
      <w:jc w:val="center"/>
    </w:pPr>
    <w:rPr>
      <w:i/>
      <w:iCs/>
      <w:color w:val="404040" w:themeColor="text1" w:themeTint="BF"/>
    </w:rPr>
  </w:style>
  <w:style w:type="character" w:customStyle="1" w:styleId="a8">
    <w:name w:val="引用文 (文字)"/>
    <w:basedOn w:val="a0"/>
    <w:link w:val="a7"/>
    <w:uiPriority w:val="29"/>
    <w:rsid w:val="00D04818"/>
    <w:rPr>
      <w:i/>
      <w:iCs/>
      <w:color w:val="404040" w:themeColor="text1" w:themeTint="BF"/>
    </w:rPr>
  </w:style>
  <w:style w:type="paragraph" w:styleId="a9">
    <w:name w:val="List Paragraph"/>
    <w:basedOn w:val="a"/>
    <w:uiPriority w:val="34"/>
    <w:qFormat/>
    <w:rsid w:val="00D04818"/>
    <w:pPr>
      <w:ind w:left="720"/>
      <w:contextualSpacing/>
    </w:pPr>
  </w:style>
  <w:style w:type="character" w:styleId="21">
    <w:name w:val="Intense Emphasis"/>
    <w:basedOn w:val="a0"/>
    <w:uiPriority w:val="21"/>
    <w:qFormat/>
    <w:rsid w:val="00D04818"/>
    <w:rPr>
      <w:i/>
      <w:iCs/>
      <w:color w:val="0F4761" w:themeColor="accent1" w:themeShade="BF"/>
    </w:rPr>
  </w:style>
  <w:style w:type="paragraph" w:styleId="22">
    <w:name w:val="Intense Quote"/>
    <w:basedOn w:val="a"/>
    <w:next w:val="a"/>
    <w:link w:val="23"/>
    <w:uiPriority w:val="30"/>
    <w:qFormat/>
    <w:rsid w:val="00D048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D04818"/>
    <w:rPr>
      <w:i/>
      <w:iCs/>
      <w:color w:val="0F4761" w:themeColor="accent1" w:themeShade="BF"/>
    </w:rPr>
  </w:style>
  <w:style w:type="character" w:styleId="24">
    <w:name w:val="Intense Reference"/>
    <w:basedOn w:val="a0"/>
    <w:uiPriority w:val="32"/>
    <w:qFormat/>
    <w:rsid w:val="00D04818"/>
    <w:rPr>
      <w:b/>
      <w:bCs/>
      <w:smallCaps/>
      <w:color w:val="0F4761" w:themeColor="accent1" w:themeShade="BF"/>
      <w:spacing w:val="5"/>
    </w:rPr>
  </w:style>
  <w:style w:type="character" w:styleId="aa">
    <w:name w:val="Placeholder Text"/>
    <w:basedOn w:val="a0"/>
    <w:uiPriority w:val="99"/>
    <w:semiHidden/>
    <w:rsid w:val="00D0481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693</Words>
  <Characters>3952</Characters>
  <Application>Microsoft Office Word</Application>
  <DocSecurity>0</DocSecurity>
  <Lines>32</Lines>
  <Paragraphs>9</Paragraphs>
  <ScaleCrop>false</ScaleCrop>
  <Company/>
  <LinksUpToDate>false</LinksUpToDate>
  <CharactersWithSpaces>4636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田中 啓久 (Tanaka Hirohisa)</dc:creator>
  <cp:keywords/>
  <dc:description/>
  <cp:lastModifiedBy>田中 啓久 (Tanaka Hirohisa)</cp:lastModifiedBy>
  <cp:revision>1</cp:revision>
  <dcterms:created xsi:type="dcterms:W3CDTF">2026-07-14T09:03:00Z</dcterms:created>
  <dcterms:modified xsi:type="dcterms:W3CDTF">2026-07-14T09:03:00Z</dcterms:modified>
</cp:coreProperties>
</file>