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4F1" w:rsidRDefault="00D3521F" w:rsidP="00D3521F">
      <w:pPr>
        <w:pStyle w:val="2"/>
      </w:pPr>
      <w:r>
        <w:rPr>
          <w:rFonts w:hint="eastAsia"/>
        </w:rPr>
        <w:t>ストレステスト</w:t>
      </w:r>
    </w:p>
    <w:p w:rsidR="00D3521F" w:rsidRDefault="001A47A2" w:rsidP="00D3521F">
      <w:r>
        <w:rPr>
          <w:rFonts w:hint="eastAsia"/>
        </w:rPr>
        <w:t>「ストレス」</w:t>
      </w:r>
      <w:r>
        <w:t>…1987</w:t>
      </w:r>
      <w:r>
        <w:rPr>
          <w:rFonts w:hint="eastAsia"/>
        </w:rPr>
        <w:t>年の株価大暴落</w:t>
      </w:r>
      <w:r>
        <w:t>(</w:t>
      </w:r>
      <w:r>
        <w:rPr>
          <w:rFonts w:hint="eastAsia"/>
        </w:rPr>
        <w:t>ブラックマンデー</w:t>
      </w:r>
      <w:r>
        <w:t>)</w:t>
      </w:r>
      <w:r>
        <w:rPr>
          <w:rFonts w:hint="eastAsia"/>
        </w:rPr>
        <w:t>などの大幅なマーケット変動。また、市場において何らかのショックが発生し、これが次々のショックの連鎖を生み出して行くプロセス</w:t>
      </w:r>
      <w:r>
        <w:t>(</w:t>
      </w:r>
      <w:r>
        <w:rPr>
          <w:rFonts w:hint="eastAsia"/>
        </w:rPr>
        <w:t>システマティック・リスク</w:t>
      </w:r>
      <w:r>
        <w:t>)</w:t>
      </w:r>
      <w:r>
        <w:rPr>
          <w:rFonts w:hint="eastAsia"/>
        </w:rPr>
        <w:t>。</w:t>
      </w:r>
    </w:p>
    <w:p w:rsidR="001A47A2" w:rsidRDefault="001A47A2" w:rsidP="00D3521F">
      <w:r>
        <w:rPr>
          <w:rFonts w:hint="eastAsia"/>
        </w:rPr>
        <w:t>「ストレステスト」</w:t>
      </w:r>
      <w:r>
        <w:t>…</w:t>
      </w:r>
      <w:r>
        <w:rPr>
          <w:rFonts w:hint="eastAsia"/>
        </w:rPr>
        <w:t>ストレスが起こったときのポートフォリオのリスクを測ること</w:t>
      </w:r>
    </w:p>
    <w:p w:rsidR="000B36B6" w:rsidRDefault="000B36B6" w:rsidP="000B36B6">
      <w:pPr>
        <w:pStyle w:val="1"/>
        <w:rPr>
          <w:rFonts w:hint="eastAsia"/>
        </w:rPr>
      </w:pPr>
      <w:r>
        <w:rPr>
          <w:rFonts w:hint="eastAsia"/>
        </w:rPr>
        <w:t>ストレステストのバリデーション</w:t>
      </w:r>
    </w:p>
    <w:tbl>
      <w:tblPr>
        <w:tblStyle w:val="a5"/>
        <w:tblW w:w="9706" w:type="dxa"/>
        <w:tblLook w:val="04A0" w:firstRow="1" w:lastRow="0" w:firstColumn="1" w:lastColumn="0" w:noHBand="0" w:noVBand="1"/>
      </w:tblPr>
      <w:tblGrid>
        <w:gridCol w:w="2972"/>
        <w:gridCol w:w="6734"/>
      </w:tblGrid>
      <w:tr w:rsidR="00731F97" w:rsidTr="00731F97">
        <w:trPr>
          <w:trHeight w:val="390"/>
        </w:trPr>
        <w:tc>
          <w:tcPr>
            <w:tcW w:w="2972" w:type="dxa"/>
          </w:tcPr>
          <w:p w:rsidR="00731F97" w:rsidRDefault="00731F97" w:rsidP="00D3521F">
            <w:pPr>
              <w:rPr>
                <w:rFonts w:hint="eastAsia"/>
              </w:rPr>
            </w:pPr>
            <w:bookmarkStart w:id="0" w:name="_Hlk64902651"/>
            <w:r>
              <w:rPr>
                <w:rFonts w:hint="eastAsia"/>
              </w:rPr>
              <w:t>ストレステストの種類</w:t>
            </w:r>
          </w:p>
        </w:tc>
        <w:tc>
          <w:tcPr>
            <w:tcW w:w="6734" w:type="dxa"/>
          </w:tcPr>
          <w:p w:rsidR="00731F97" w:rsidRPr="00731F97" w:rsidRDefault="00731F97" w:rsidP="00D3521F">
            <w:pPr>
              <w:rPr>
                <w:rFonts w:hint="eastAsia"/>
              </w:rPr>
            </w:pPr>
            <w:r>
              <w:rPr>
                <w:rFonts w:hint="eastAsia"/>
              </w:rPr>
              <w:t>概要</w:t>
            </w:r>
          </w:p>
        </w:tc>
      </w:tr>
      <w:tr w:rsidR="00731F97" w:rsidTr="00731F97">
        <w:trPr>
          <w:trHeight w:val="816"/>
        </w:trPr>
        <w:tc>
          <w:tcPr>
            <w:tcW w:w="2972" w:type="dxa"/>
          </w:tcPr>
          <w:p w:rsidR="00731F97" w:rsidRDefault="00731F97" w:rsidP="00D3521F">
            <w:pPr>
              <w:rPr>
                <w:rFonts w:hint="eastAsia"/>
              </w:rPr>
            </w:pPr>
            <w:r>
              <w:rPr>
                <w:rFonts w:hint="eastAsia"/>
              </w:rPr>
              <w:t>シナリオ法</w:t>
            </w:r>
          </w:p>
        </w:tc>
        <w:tc>
          <w:tcPr>
            <w:tcW w:w="6734" w:type="dxa"/>
          </w:tcPr>
          <w:p w:rsidR="00731F97" w:rsidRDefault="00731F97" w:rsidP="00D3521F">
            <w:pPr>
              <w:rPr>
                <w:rFonts w:hint="eastAsia"/>
              </w:rPr>
            </w:pPr>
            <w:r>
              <w:rPr>
                <w:rFonts w:hint="eastAsia"/>
              </w:rPr>
              <w:t>最も基本的なストレステスト。</w:t>
            </w:r>
            <w:r>
              <w:br/>
            </w:r>
            <w:r>
              <w:rPr>
                <w:rFonts w:hint="eastAsia"/>
              </w:rPr>
              <w:t>実際に過去に発生したストレスが再び起こったと仮定し、現在のポートフォリオのリスク量を計測する方法。</w:t>
            </w:r>
            <w:r>
              <w:br/>
            </w:r>
            <w:r>
              <w:rPr>
                <w:rFonts w:hint="eastAsia"/>
              </w:rPr>
              <w:t>デメリットとして、想定したストレスに再起性があるかは、客観的な議論の方法がなく、計算されたリスクを扱いにくい。</w:t>
            </w:r>
          </w:p>
        </w:tc>
      </w:tr>
      <w:tr w:rsidR="00731F97" w:rsidTr="00731F97">
        <w:trPr>
          <w:trHeight w:val="1207"/>
        </w:trPr>
        <w:tc>
          <w:tcPr>
            <w:tcW w:w="2972" w:type="dxa"/>
          </w:tcPr>
          <w:p w:rsidR="00731F97" w:rsidRDefault="00731F97" w:rsidP="00D3521F">
            <w:pPr>
              <w:rPr>
                <w:rFonts w:hint="eastAsia"/>
              </w:rPr>
            </w:pPr>
            <w:bookmarkStart w:id="1" w:name="OLE_LINK1"/>
            <w:bookmarkStart w:id="2" w:name="OLE_LINK2"/>
            <w:r>
              <w:rPr>
                <w:rFonts w:hint="eastAsia"/>
              </w:rPr>
              <w:t>リスクファクターの</w:t>
            </w:r>
            <w:r>
              <w:br/>
            </w:r>
            <w:r>
              <w:rPr>
                <w:rFonts w:hint="eastAsia"/>
              </w:rPr>
              <w:t>分布や相関の前提を</w:t>
            </w:r>
            <w:r>
              <w:br/>
            </w:r>
            <w:r>
              <w:rPr>
                <w:rFonts w:hint="eastAsia"/>
              </w:rPr>
              <w:t>操作する方法</w:t>
            </w:r>
            <w:bookmarkEnd w:id="1"/>
            <w:bookmarkEnd w:id="2"/>
          </w:p>
        </w:tc>
        <w:tc>
          <w:tcPr>
            <w:tcW w:w="6734" w:type="dxa"/>
          </w:tcPr>
          <w:p w:rsidR="00674922" w:rsidRDefault="00731F97" w:rsidP="00D3521F">
            <w:pPr>
              <w:rPr>
                <w:rFonts w:hint="eastAsia"/>
              </w:rPr>
            </w:pPr>
            <w:r>
              <w:rPr>
                <w:rFonts w:hint="eastAsia"/>
              </w:rPr>
              <w:t>デルタ法の計算過程で求められるパラメータにストレスを与える方法。</w:t>
            </w:r>
            <w:r w:rsidR="00674922">
              <w:br/>
            </w:r>
            <w:r w:rsidR="00674922">
              <w:rPr>
                <w:rFonts w:hint="eastAsia"/>
              </w:rPr>
              <w:t>例として、</w:t>
            </w:r>
            <w:r w:rsidR="00674922">
              <w:t>fat-tail</w:t>
            </w:r>
            <w:r w:rsidR="00674922">
              <w:rPr>
                <w:rFonts w:hint="eastAsia"/>
              </w:rPr>
              <w:t>な分布の仮定やリスクファクター間の相関が崩れた場合の仮定など</w:t>
            </w:r>
          </w:p>
        </w:tc>
      </w:tr>
      <w:tr w:rsidR="00731F97" w:rsidTr="00731F97">
        <w:trPr>
          <w:trHeight w:val="799"/>
        </w:trPr>
        <w:tc>
          <w:tcPr>
            <w:tcW w:w="2972" w:type="dxa"/>
          </w:tcPr>
          <w:p w:rsidR="00731F97" w:rsidRDefault="00731F97" w:rsidP="00D3521F">
            <w:pPr>
              <w:rPr>
                <w:rFonts w:hint="eastAsia"/>
              </w:rPr>
            </w:pPr>
            <w:r>
              <w:rPr>
                <w:rFonts w:hint="eastAsia"/>
              </w:rPr>
              <w:t>動的ストレス</w:t>
            </w:r>
            <w:r>
              <w:br/>
            </w:r>
            <w:r>
              <w:rPr>
                <w:rFonts w:hint="eastAsia"/>
              </w:rPr>
              <w:t>シミュレーション</w:t>
            </w:r>
          </w:p>
        </w:tc>
        <w:tc>
          <w:tcPr>
            <w:tcW w:w="6734" w:type="dxa"/>
          </w:tcPr>
          <w:p w:rsidR="00422BAB" w:rsidRDefault="00674922" w:rsidP="00D3521F">
            <w:pPr>
              <w:rPr>
                <w:rFonts w:hint="eastAsia"/>
              </w:rPr>
            </w:pPr>
            <w:r>
              <w:rPr>
                <w:rFonts w:hint="eastAsia"/>
              </w:rPr>
              <w:t>市場の連鎖反応によってストレスが拡大するという前提のもと、ショックの連鎖をシミュレーションする方法。</w:t>
            </w:r>
            <w:r>
              <w:br/>
            </w:r>
            <w:r>
              <w:rPr>
                <w:rFonts w:hint="eastAsia"/>
              </w:rPr>
              <w:t>シミュレーションの要素には、ポートフォリオ調整行動、ロスカットルール、トレーディング取引戦略</w:t>
            </w:r>
            <w:r w:rsidR="00422BAB">
              <w:rPr>
                <w:rFonts w:hint="eastAsia"/>
              </w:rPr>
              <w:t>の動態的情報</w:t>
            </w:r>
            <w:r w:rsidR="006E7955">
              <w:rPr>
                <w:rFonts w:hint="eastAsia"/>
              </w:rPr>
              <w:t>など</w:t>
            </w:r>
          </w:p>
        </w:tc>
      </w:tr>
    </w:tbl>
    <w:bookmarkEnd w:id="0"/>
    <w:p w:rsidR="001A47A2" w:rsidRDefault="000B36B6" w:rsidP="000B36B6">
      <w:pPr>
        <w:pStyle w:val="1"/>
      </w:pPr>
      <w:r>
        <w:rPr>
          <w:rFonts w:hint="eastAsia"/>
        </w:rPr>
        <w:t>BIS規制におけるストレステスト</w:t>
      </w:r>
    </w:p>
    <w:p w:rsidR="000B36B6" w:rsidRDefault="000B36B6" w:rsidP="000B36B6">
      <w:r>
        <w:rPr>
          <w:rFonts w:hint="eastAsia"/>
        </w:rPr>
        <w:t>BIS規制では、銀行が</w:t>
      </w:r>
      <w:proofErr w:type="spellStart"/>
      <w:r>
        <w:t>V</w:t>
      </w:r>
      <w:r>
        <w:rPr>
          <w:rFonts w:hint="eastAsia"/>
        </w:rPr>
        <w:t>aR</w:t>
      </w:r>
      <w:proofErr w:type="spellEnd"/>
      <w:r>
        <w:rPr>
          <w:rFonts w:hint="eastAsia"/>
        </w:rPr>
        <w:t>の計測モデルを作成した場合、そのモデルによるリスク計量化のほかに、厳格で包括なストレステストを実施しなくてはならない。</w:t>
      </w:r>
    </w:p>
    <w:p w:rsidR="000B36B6" w:rsidRDefault="000B36B6" w:rsidP="000B36B6">
      <w:pPr>
        <w:pStyle w:val="a3"/>
        <w:numPr>
          <w:ilvl w:val="0"/>
          <w:numId w:val="7"/>
        </w:numPr>
        <w:ind w:leftChars="0"/>
        <w:rPr>
          <w:rFonts w:hint="eastAsia"/>
        </w:rPr>
      </w:pPr>
      <w:r>
        <w:rPr>
          <w:rFonts w:hint="eastAsia"/>
        </w:rPr>
        <w:lastRenderedPageBreak/>
        <w:t>極端なマーケット変動を現在のポートフォリオに対して適用し、時価損益がどの程度変動するか。</w:t>
      </w:r>
      <w:r>
        <w:t>(</w:t>
      </w:r>
      <w:r>
        <w:rPr>
          <w:rFonts w:hint="eastAsia"/>
        </w:rPr>
        <w:t>シナリオ法に基づいたテスト)</w:t>
      </w:r>
    </w:p>
    <w:p w:rsidR="000B36B6" w:rsidRDefault="000B36B6" w:rsidP="000B36B6">
      <w:pPr>
        <w:pStyle w:val="a3"/>
        <w:numPr>
          <w:ilvl w:val="0"/>
          <w:numId w:val="7"/>
        </w:numPr>
        <w:ind w:leftChars="0"/>
      </w:pPr>
      <w:r>
        <w:rPr>
          <w:rFonts w:hint="eastAsia"/>
        </w:rPr>
        <w:t>デルタ法を採用している場合、ボラティリティや相関の変化を現在のポートフォリオに対して適用した場合に</w:t>
      </w:r>
      <w:r>
        <w:t>、</w:t>
      </w:r>
      <w:proofErr w:type="spellStart"/>
      <w:r>
        <w:rPr>
          <w:rFonts w:hint="eastAsia"/>
        </w:rPr>
        <w:t>VaR</w:t>
      </w:r>
      <w:proofErr w:type="spellEnd"/>
      <w:r>
        <w:rPr>
          <w:rFonts w:hint="eastAsia"/>
        </w:rPr>
        <w:t>がどの程度変動するか。(</w:t>
      </w:r>
      <w:r>
        <w:rPr>
          <w:rFonts w:hint="eastAsia"/>
        </w:rPr>
        <w:t>リスクファクターの分布や相関の前提を操作する方法</w:t>
      </w:r>
      <w:r>
        <w:rPr>
          <w:rFonts w:hint="eastAsia"/>
        </w:rPr>
        <w:t>によるテスト</w:t>
      </w:r>
      <w:r>
        <w:t>)</w:t>
      </w:r>
    </w:p>
    <w:p w:rsidR="00691DA3" w:rsidRDefault="00691DA3" w:rsidP="000B36B6">
      <w:pPr>
        <w:pStyle w:val="a3"/>
        <w:numPr>
          <w:ilvl w:val="0"/>
          <w:numId w:val="7"/>
        </w:numPr>
        <w:ind w:leftChars="0"/>
        <w:rPr>
          <w:rFonts w:hint="eastAsia"/>
        </w:rPr>
      </w:pPr>
      <w:r>
        <w:rPr>
          <w:rFonts w:hint="eastAsia"/>
        </w:rPr>
        <w:t>モンテカルロ法を採用している場合、その計算過程に利用した条件</w:t>
      </w:r>
      <w:r w:rsidR="008D7DFB">
        <w:t>(</w:t>
      </w:r>
      <w:r w:rsidR="008D7DFB">
        <w:rPr>
          <w:rFonts w:hint="eastAsia"/>
        </w:rPr>
        <w:t>例えば時系列モデルの関数型</w:t>
      </w:r>
      <w:r w:rsidR="008D7DFB">
        <w:t>)</w:t>
      </w:r>
      <w:r w:rsidR="008D7DFB">
        <w:rPr>
          <w:rFonts w:hint="eastAsia"/>
        </w:rPr>
        <w:t>や、中間段階のパラメータが極端に変化した場合をシミュレートする。</w:t>
      </w:r>
    </w:p>
    <w:p w:rsidR="000B36B6" w:rsidRDefault="000B36B6" w:rsidP="000B36B6"/>
    <w:p w:rsidR="002F6A73" w:rsidRDefault="002F6A73" w:rsidP="000B36B6"/>
    <w:p w:rsidR="002F6A73" w:rsidRDefault="002F6A73" w:rsidP="000B36B6"/>
    <w:p w:rsidR="002F6A73" w:rsidRDefault="002F6A73" w:rsidP="000B36B6">
      <w:pPr>
        <w:rPr>
          <w:rFonts w:hint="eastAsia"/>
        </w:rPr>
      </w:pPr>
    </w:p>
    <w:p w:rsidR="00C540D6" w:rsidRDefault="00C540D6" w:rsidP="00C540D6">
      <w:pPr>
        <w:pStyle w:val="1"/>
      </w:pPr>
      <w:r>
        <w:rPr>
          <w:rFonts w:hint="eastAsia"/>
        </w:rPr>
        <w:t>リスク計測モデルのデータ処理方法</w:t>
      </w:r>
    </w:p>
    <w:p w:rsidR="002F6A73" w:rsidRPr="002F6A73" w:rsidRDefault="002F6A73" w:rsidP="002F6A73">
      <w:pPr>
        <w:rPr>
          <w:rFonts w:hint="eastAsia"/>
        </w:rPr>
      </w:pPr>
      <w:bookmarkStart w:id="3" w:name="_GoBack"/>
      <w:bookmarkEnd w:id="3"/>
    </w:p>
    <w:p w:rsidR="00C540D6" w:rsidRDefault="00490ABC" w:rsidP="00C540D6">
      <w:r>
        <w:rPr>
          <w:rFonts w:hint="eastAsia"/>
        </w:rPr>
        <w:t>リスクファクターの設定について</w:t>
      </w:r>
    </w:p>
    <w:p w:rsidR="00490ABC" w:rsidRDefault="00490ABC" w:rsidP="00490ABC">
      <w:pPr>
        <w:pStyle w:val="a3"/>
        <w:numPr>
          <w:ilvl w:val="0"/>
          <w:numId w:val="8"/>
        </w:numPr>
        <w:ind w:leftChars="0"/>
      </w:pPr>
      <w:r>
        <w:rPr>
          <w:rFonts w:hint="eastAsia"/>
        </w:rPr>
        <w:t>ポートフォリオの変動が、選択されたリスクファクターによって十分に説明されること。</w:t>
      </w:r>
    </w:p>
    <w:p w:rsidR="00490ABC" w:rsidRDefault="00490ABC" w:rsidP="00490ABC">
      <w:pPr>
        <w:pStyle w:val="a3"/>
        <w:numPr>
          <w:ilvl w:val="0"/>
          <w:numId w:val="8"/>
        </w:numPr>
        <w:ind w:leftChars="0"/>
      </w:pPr>
      <w:r>
        <w:rPr>
          <w:rFonts w:hint="eastAsia"/>
        </w:rPr>
        <w:t>リスクファクターの変動を記述できるだけの十分なデータが取得可能であること。</w:t>
      </w:r>
    </w:p>
    <w:p w:rsidR="00490ABC" w:rsidRDefault="00490ABC" w:rsidP="00490ABC">
      <w:pPr>
        <w:pStyle w:val="a3"/>
        <w:numPr>
          <w:ilvl w:val="0"/>
          <w:numId w:val="8"/>
        </w:numPr>
        <w:ind w:leftChars="0"/>
      </w:pPr>
      <w:r>
        <w:rPr>
          <w:rFonts w:hint="eastAsia"/>
        </w:rPr>
        <w:t>リスクファクター感に多重共線性の問題が生じないこと。</w:t>
      </w:r>
    </w:p>
    <w:p w:rsidR="00490ABC" w:rsidRDefault="00490ABC" w:rsidP="00490ABC">
      <w:pPr>
        <w:pStyle w:val="a3"/>
        <w:numPr>
          <w:ilvl w:val="0"/>
          <w:numId w:val="8"/>
        </w:numPr>
        <w:ind w:leftChars="0"/>
      </w:pPr>
      <w:r>
        <w:rPr>
          <w:rFonts w:hint="eastAsia"/>
        </w:rPr>
        <w:t>そのリスクファクターを採用することによって計算プロセスが極端に煩雑にならないこと。</w:t>
      </w:r>
    </w:p>
    <w:p w:rsidR="00490ABC" w:rsidRDefault="00490ABC" w:rsidP="00490ABC"/>
    <w:tbl>
      <w:tblPr>
        <w:tblStyle w:val="a5"/>
        <w:tblW w:w="9706" w:type="dxa"/>
        <w:tblLook w:val="04A0" w:firstRow="1" w:lastRow="0" w:firstColumn="1" w:lastColumn="0" w:noHBand="0" w:noVBand="1"/>
      </w:tblPr>
      <w:tblGrid>
        <w:gridCol w:w="2972"/>
        <w:gridCol w:w="6734"/>
      </w:tblGrid>
      <w:tr w:rsidR="00490ABC" w:rsidRPr="00731F97" w:rsidTr="008C31FF">
        <w:trPr>
          <w:trHeight w:val="390"/>
        </w:trPr>
        <w:tc>
          <w:tcPr>
            <w:tcW w:w="2972" w:type="dxa"/>
          </w:tcPr>
          <w:p w:rsidR="00490ABC" w:rsidRDefault="00490ABC" w:rsidP="008C31FF">
            <w:pPr>
              <w:rPr>
                <w:rFonts w:hint="eastAsia"/>
              </w:rPr>
            </w:pPr>
            <w:r>
              <w:rPr>
                <w:rFonts w:hint="eastAsia"/>
              </w:rPr>
              <w:t>リスクファクター</w:t>
            </w:r>
            <w:r>
              <w:rPr>
                <w:rFonts w:hint="eastAsia"/>
              </w:rPr>
              <w:t>の種類</w:t>
            </w:r>
          </w:p>
        </w:tc>
        <w:tc>
          <w:tcPr>
            <w:tcW w:w="6734" w:type="dxa"/>
          </w:tcPr>
          <w:p w:rsidR="00490ABC" w:rsidRPr="00731F97" w:rsidRDefault="00490ABC" w:rsidP="008C31FF">
            <w:pPr>
              <w:rPr>
                <w:rFonts w:hint="eastAsia"/>
              </w:rPr>
            </w:pPr>
            <w:r>
              <w:rPr>
                <w:rFonts w:hint="eastAsia"/>
              </w:rPr>
              <w:t>概要</w:t>
            </w:r>
          </w:p>
        </w:tc>
      </w:tr>
      <w:tr w:rsidR="00490ABC" w:rsidTr="008C31FF">
        <w:trPr>
          <w:trHeight w:val="816"/>
        </w:trPr>
        <w:tc>
          <w:tcPr>
            <w:tcW w:w="2972" w:type="dxa"/>
          </w:tcPr>
          <w:p w:rsidR="00490ABC" w:rsidRDefault="00490ABC" w:rsidP="008C31FF">
            <w:pPr>
              <w:rPr>
                <w:rFonts w:hint="eastAsia"/>
              </w:rPr>
            </w:pPr>
            <w:r>
              <w:rPr>
                <w:rFonts w:hint="eastAsia"/>
              </w:rPr>
              <w:lastRenderedPageBreak/>
              <w:t>金利変動</w:t>
            </w:r>
          </w:p>
        </w:tc>
        <w:tc>
          <w:tcPr>
            <w:tcW w:w="6734" w:type="dxa"/>
          </w:tcPr>
          <w:p w:rsidR="00490ABC" w:rsidRDefault="00490ABC" w:rsidP="008C31FF">
            <w:pPr>
              <w:rPr>
                <w:rFonts w:hint="eastAsia"/>
              </w:rPr>
            </w:pPr>
          </w:p>
        </w:tc>
      </w:tr>
      <w:tr w:rsidR="00490ABC" w:rsidTr="008C31FF">
        <w:trPr>
          <w:trHeight w:val="1207"/>
        </w:trPr>
        <w:tc>
          <w:tcPr>
            <w:tcW w:w="2972" w:type="dxa"/>
          </w:tcPr>
          <w:p w:rsidR="00490ABC" w:rsidRDefault="00490ABC" w:rsidP="008C31FF">
            <w:pPr>
              <w:rPr>
                <w:rFonts w:hint="eastAsia"/>
              </w:rPr>
            </w:pPr>
            <w:r>
              <w:rPr>
                <w:rFonts w:hint="eastAsia"/>
              </w:rPr>
              <w:t>為替変動</w:t>
            </w:r>
          </w:p>
        </w:tc>
        <w:tc>
          <w:tcPr>
            <w:tcW w:w="6734" w:type="dxa"/>
          </w:tcPr>
          <w:p w:rsidR="00490ABC" w:rsidRDefault="00490ABC" w:rsidP="008C31FF">
            <w:pPr>
              <w:rPr>
                <w:rFonts w:hint="eastAsia"/>
              </w:rPr>
            </w:pPr>
          </w:p>
        </w:tc>
      </w:tr>
      <w:tr w:rsidR="00490ABC" w:rsidTr="008C31FF">
        <w:trPr>
          <w:trHeight w:val="799"/>
        </w:trPr>
        <w:tc>
          <w:tcPr>
            <w:tcW w:w="2972" w:type="dxa"/>
          </w:tcPr>
          <w:p w:rsidR="00490ABC" w:rsidRDefault="00490ABC" w:rsidP="008C31FF">
            <w:pPr>
              <w:rPr>
                <w:rFonts w:hint="eastAsia"/>
              </w:rPr>
            </w:pPr>
            <w:r>
              <w:rPr>
                <w:rFonts w:hint="eastAsia"/>
              </w:rPr>
              <w:t>株式変動</w:t>
            </w:r>
          </w:p>
        </w:tc>
        <w:tc>
          <w:tcPr>
            <w:tcW w:w="6734" w:type="dxa"/>
          </w:tcPr>
          <w:p w:rsidR="00490ABC" w:rsidRDefault="00490ABC" w:rsidP="008C31FF">
            <w:pPr>
              <w:rPr>
                <w:rFonts w:hint="eastAsia"/>
              </w:rPr>
            </w:pPr>
          </w:p>
        </w:tc>
      </w:tr>
    </w:tbl>
    <w:p w:rsidR="00490ABC" w:rsidRPr="00C540D6" w:rsidRDefault="00490ABC" w:rsidP="00490ABC"/>
    <w:sectPr w:rsidR="00490ABC" w:rsidRPr="00C540D6" w:rsidSect="005F59A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0CBC"/>
    <w:multiLevelType w:val="hybridMultilevel"/>
    <w:tmpl w:val="6A64001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F153973"/>
    <w:multiLevelType w:val="hybridMultilevel"/>
    <w:tmpl w:val="8040AA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A36713"/>
    <w:multiLevelType w:val="hybridMultilevel"/>
    <w:tmpl w:val="97D2E79A"/>
    <w:lvl w:ilvl="0" w:tplc="0409000F">
      <w:start w:val="1"/>
      <w:numFmt w:val="decimal"/>
      <w:lvlText w:val="%1."/>
      <w:lvlJc w:val="left"/>
      <w:pPr>
        <w:ind w:left="420" w:hanging="420"/>
      </w:pPr>
    </w:lvl>
    <w:lvl w:ilvl="1" w:tplc="04090001">
      <w:start w:val="1"/>
      <w:numFmt w:val="bullet"/>
      <w:lvlText w:val=""/>
      <w:lvlJc w:val="left"/>
      <w:pPr>
        <w:ind w:left="420" w:hanging="420"/>
      </w:pPr>
      <w:rPr>
        <w:rFonts w:ascii="Wingdings" w:hAnsi="Wingdings" w:hint="default"/>
      </w:rPr>
    </w:lvl>
    <w:lvl w:ilvl="2" w:tplc="0409000B">
      <w:start w:val="1"/>
      <w:numFmt w:val="bullet"/>
      <w:lvlText w:val=""/>
      <w:lvlJc w:val="left"/>
      <w:pPr>
        <w:ind w:left="840" w:hanging="420"/>
      </w:pPr>
      <w:rPr>
        <w:rFonts w:ascii="Wingdings" w:hAnsi="Wingdings" w:hint="default"/>
      </w:rPr>
    </w:lvl>
    <w:lvl w:ilvl="3" w:tplc="0409000B">
      <w:start w:val="1"/>
      <w:numFmt w:val="bullet"/>
      <w:lvlText w:val=""/>
      <w:lvlJc w:val="left"/>
      <w:pPr>
        <w:ind w:left="840" w:hanging="420"/>
      </w:pPr>
      <w:rPr>
        <w:rFonts w:ascii="Wingdings" w:hAnsi="Wingdings" w:hint="default"/>
      </w:r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E347A69"/>
    <w:multiLevelType w:val="hybridMultilevel"/>
    <w:tmpl w:val="B1769E0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5C3A9E"/>
    <w:multiLevelType w:val="hybridMultilevel"/>
    <w:tmpl w:val="ECCABE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081A5C"/>
    <w:multiLevelType w:val="hybridMultilevel"/>
    <w:tmpl w:val="04CC4D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DC43C3"/>
    <w:multiLevelType w:val="hybridMultilevel"/>
    <w:tmpl w:val="BDB8C1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8EB182B"/>
    <w:multiLevelType w:val="hybridMultilevel"/>
    <w:tmpl w:val="B868EA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4"/>
  </w:num>
  <w:num w:numId="4">
    <w:abstractNumId w:val="2"/>
  </w:num>
  <w:num w:numId="5">
    <w:abstractNumId w:val="0"/>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FA"/>
    <w:rsid w:val="00012ECF"/>
    <w:rsid w:val="000260FA"/>
    <w:rsid w:val="000B36B6"/>
    <w:rsid w:val="00197CDD"/>
    <w:rsid w:val="001A47A2"/>
    <w:rsid w:val="00211764"/>
    <w:rsid w:val="002B7596"/>
    <w:rsid w:val="002F6A73"/>
    <w:rsid w:val="00366089"/>
    <w:rsid w:val="0037167A"/>
    <w:rsid w:val="00373180"/>
    <w:rsid w:val="00410E28"/>
    <w:rsid w:val="00422BAB"/>
    <w:rsid w:val="004824F1"/>
    <w:rsid w:val="00490ABC"/>
    <w:rsid w:val="004F5AD6"/>
    <w:rsid w:val="004F5FFD"/>
    <w:rsid w:val="00505DBA"/>
    <w:rsid w:val="0056179E"/>
    <w:rsid w:val="005B37EE"/>
    <w:rsid w:val="005E1284"/>
    <w:rsid w:val="005F59A2"/>
    <w:rsid w:val="0062229A"/>
    <w:rsid w:val="0067475D"/>
    <w:rsid w:val="00674922"/>
    <w:rsid w:val="00691AB4"/>
    <w:rsid w:val="00691DA3"/>
    <w:rsid w:val="006931C2"/>
    <w:rsid w:val="006E7955"/>
    <w:rsid w:val="006F1477"/>
    <w:rsid w:val="00731F97"/>
    <w:rsid w:val="00805BBF"/>
    <w:rsid w:val="008D7DFB"/>
    <w:rsid w:val="00963FF6"/>
    <w:rsid w:val="00B3188C"/>
    <w:rsid w:val="00B76341"/>
    <w:rsid w:val="00BC5386"/>
    <w:rsid w:val="00BF1567"/>
    <w:rsid w:val="00C540D6"/>
    <w:rsid w:val="00C66AB1"/>
    <w:rsid w:val="00D3521F"/>
    <w:rsid w:val="00D813E4"/>
    <w:rsid w:val="00E31B71"/>
    <w:rsid w:val="00E637FA"/>
    <w:rsid w:val="00EF2FEC"/>
    <w:rsid w:val="00F938CE"/>
    <w:rsid w:val="00FD26DA"/>
    <w:rsid w:val="00FF0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A13B16"/>
  <w14:defaultImageDpi w14:val="32767"/>
  <w15:chartTrackingRefBased/>
  <w15:docId w15:val="{2596C234-C052-0348-A682-EA077AF9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ABC"/>
  </w:style>
  <w:style w:type="paragraph" w:styleId="1">
    <w:name w:val="heading 1"/>
    <w:basedOn w:val="a"/>
    <w:next w:val="a"/>
    <w:link w:val="10"/>
    <w:uiPriority w:val="9"/>
    <w:qFormat/>
    <w:rsid w:val="00366089"/>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366089"/>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E31B7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6089"/>
    <w:rPr>
      <w:rFonts w:asciiTheme="majorHAnsi" w:eastAsiaTheme="majorEastAsia" w:hAnsiTheme="majorHAnsi" w:cstheme="majorBidi"/>
    </w:rPr>
  </w:style>
  <w:style w:type="character" w:customStyle="1" w:styleId="20">
    <w:name w:val="見出し 2 (文字)"/>
    <w:basedOn w:val="a0"/>
    <w:link w:val="2"/>
    <w:uiPriority w:val="9"/>
    <w:rsid w:val="00366089"/>
    <w:rPr>
      <w:rFonts w:asciiTheme="majorHAnsi" w:eastAsiaTheme="majorEastAsia" w:hAnsiTheme="majorHAnsi" w:cstheme="majorBidi"/>
    </w:rPr>
  </w:style>
  <w:style w:type="paragraph" w:styleId="a3">
    <w:name w:val="List Paragraph"/>
    <w:basedOn w:val="a"/>
    <w:uiPriority w:val="34"/>
    <w:qFormat/>
    <w:rsid w:val="00366089"/>
    <w:pPr>
      <w:ind w:leftChars="400" w:left="960"/>
    </w:pPr>
  </w:style>
  <w:style w:type="character" w:styleId="a4">
    <w:name w:val="Placeholder Text"/>
    <w:basedOn w:val="a0"/>
    <w:uiPriority w:val="99"/>
    <w:semiHidden/>
    <w:rsid w:val="00366089"/>
    <w:rPr>
      <w:color w:val="808080"/>
    </w:rPr>
  </w:style>
  <w:style w:type="character" w:customStyle="1" w:styleId="30">
    <w:name w:val="見出し 3 (文字)"/>
    <w:basedOn w:val="a0"/>
    <w:link w:val="3"/>
    <w:uiPriority w:val="9"/>
    <w:rsid w:val="00E31B71"/>
    <w:rPr>
      <w:rFonts w:asciiTheme="majorHAnsi" w:eastAsiaTheme="majorEastAsia" w:hAnsiTheme="majorHAnsi" w:cstheme="majorBidi"/>
    </w:rPr>
  </w:style>
  <w:style w:type="table" w:styleId="a5">
    <w:name w:val="Table Grid"/>
    <w:basedOn w:val="a1"/>
    <w:uiPriority w:val="39"/>
    <w:rsid w:val="00731F9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006FD-A086-3343-A59B-770C42A4D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162</Words>
  <Characters>928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t.shunsuke.1117@outlook.jp</dc:creator>
  <cp:keywords/>
  <dc:description/>
  <cp:lastModifiedBy>t.shunsuke.1117@outlook.jp</cp:lastModifiedBy>
  <cp:revision>18</cp:revision>
  <dcterms:created xsi:type="dcterms:W3CDTF">2021-01-11T12:03:00Z</dcterms:created>
  <dcterms:modified xsi:type="dcterms:W3CDTF">2021-02-22T07:31:00Z</dcterms:modified>
</cp:coreProperties>
</file>