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9D3" w:rsidRPr="00DE29D3" w:rsidRDefault="000306B9" w:rsidP="00DE29D3">
      <w:pPr>
        <w:pStyle w:val="1"/>
        <w:rPr>
          <w:rFonts w:hint="eastAsia"/>
        </w:rPr>
      </w:pPr>
      <w:r>
        <w:rPr>
          <w:rFonts w:hint="eastAsia"/>
        </w:rPr>
        <w:t>バックテストの設計</w:t>
      </w:r>
    </w:p>
    <w:p w:rsidR="000306B9" w:rsidRDefault="00DE29D3" w:rsidP="00DE29D3">
      <w:pPr>
        <w:pStyle w:val="1"/>
      </w:pPr>
      <w:r>
        <w:rPr>
          <w:rFonts w:hint="eastAsia"/>
        </w:rPr>
        <w:t>モデル評価の実験条件</w:t>
      </w:r>
    </w:p>
    <w:p w:rsidR="00DE29D3" w:rsidRDefault="00DE29D3" w:rsidP="00DE29D3">
      <w:r>
        <w:rPr>
          <w:rFonts w:hint="eastAsia"/>
        </w:rPr>
        <w:t>比較モデル</w:t>
      </w:r>
    </w:p>
    <w:p w:rsidR="00DE29D3" w:rsidRDefault="00DE29D3" w:rsidP="00DE29D3">
      <w:pPr>
        <w:pStyle w:val="a3"/>
        <w:numPr>
          <w:ilvl w:val="0"/>
          <w:numId w:val="17"/>
        </w:numPr>
        <w:ind w:leftChars="0"/>
      </w:pPr>
      <w:r>
        <w:rPr>
          <w:rFonts w:hint="eastAsia"/>
        </w:rPr>
        <w:t>予測手法の違い（ヒストリカル法、デルタ法）</w:t>
      </w:r>
    </w:p>
    <w:p w:rsidR="00DE29D3" w:rsidRDefault="00DE29D3" w:rsidP="00DE29D3">
      <w:pPr>
        <w:pStyle w:val="a3"/>
        <w:numPr>
          <w:ilvl w:val="0"/>
          <w:numId w:val="17"/>
        </w:numPr>
        <w:ind w:leftChars="0"/>
      </w:pPr>
      <w:r>
        <w:rPr>
          <w:rFonts w:hint="eastAsia"/>
        </w:rPr>
        <w:t>観測期間の違い（過去２５０日、５００日、７５０日）</w:t>
      </w:r>
    </w:p>
    <w:p w:rsidR="00DE29D3" w:rsidRDefault="00DE29D3" w:rsidP="00DE29D3">
      <w:pPr>
        <w:pStyle w:val="a3"/>
        <w:numPr>
          <w:ilvl w:val="0"/>
          <w:numId w:val="17"/>
        </w:numPr>
        <w:ind w:leftChars="0"/>
      </w:pPr>
      <w:r>
        <w:rPr>
          <w:rFonts w:hint="eastAsia"/>
        </w:rPr>
        <w:t>保有期間の違い（１日、１０日）</w:t>
      </w:r>
    </w:p>
    <w:p w:rsidR="00DE29D3" w:rsidRDefault="00DE29D3" w:rsidP="00DE29D3">
      <w:pPr>
        <w:pStyle w:val="a3"/>
        <w:numPr>
          <w:ilvl w:val="0"/>
          <w:numId w:val="17"/>
        </w:numPr>
        <w:ind w:leftChars="0"/>
      </w:pPr>
      <w:r>
        <w:rPr>
          <w:rFonts w:hint="eastAsia"/>
        </w:rPr>
        <w:t>保有期間１０日のボラティリティを予測する場合に考えられる次のようなモデル間の相違（</w:t>
      </w:r>
      <w:r>
        <w:t>Box-Car</w:t>
      </w:r>
      <w:r>
        <w:rPr>
          <w:rFonts w:hint="eastAsia"/>
        </w:rPr>
        <w:t>法、</w:t>
      </w:r>
      <w:r>
        <w:t>Moving-Window</w:t>
      </w:r>
      <w:r>
        <w:rPr>
          <w:rFonts w:hint="eastAsia"/>
        </w:rPr>
        <w:t>法、ルート</w:t>
      </w:r>
      <w:proofErr w:type="gramStart"/>
      <w:r>
        <w:rPr>
          <w:rFonts w:hint="eastAsia"/>
        </w:rPr>
        <w:t>t</w:t>
      </w:r>
      <w:proofErr w:type="gramEnd"/>
      <w:r>
        <w:rPr>
          <w:rFonts w:hint="eastAsia"/>
        </w:rPr>
        <w:t>倍法）</w:t>
      </w:r>
    </w:p>
    <w:p w:rsidR="00DE29D3" w:rsidRDefault="00DE29D3" w:rsidP="00DE29D3">
      <w:r>
        <w:rPr>
          <w:rFonts w:hint="eastAsia"/>
        </w:rPr>
        <w:t>評価指標</w:t>
      </w:r>
    </w:p>
    <w:p w:rsidR="00DE29D3" w:rsidRDefault="00DE29D3" w:rsidP="00DE29D3">
      <w:pPr>
        <w:pStyle w:val="a3"/>
        <w:numPr>
          <w:ilvl w:val="0"/>
          <w:numId w:val="18"/>
        </w:numPr>
        <w:ind w:leftChars="0"/>
      </w:pPr>
      <w:r>
        <w:rPr>
          <w:rFonts w:hint="eastAsia"/>
        </w:rPr>
        <w:t>超過回数（</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hint="eastAsia"/>
        </w:rPr>
        <w:t>）</w:t>
      </w:r>
    </w:p>
    <w:p w:rsidR="00DE29D3" w:rsidRDefault="00DE29D3" w:rsidP="00DE29D3">
      <w:pPr>
        <w:pStyle w:val="a3"/>
        <w:numPr>
          <w:ilvl w:val="0"/>
          <w:numId w:val="18"/>
        </w:numPr>
        <w:ind w:leftChars="0"/>
      </w:pPr>
      <w:r>
        <w:rPr>
          <w:rFonts w:hint="eastAsia"/>
        </w:rPr>
        <w:t>収益分布の形状（</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w:t>
      </w:r>
    </w:p>
    <w:p w:rsidR="00DE29D3" w:rsidRDefault="00DE29D3" w:rsidP="00DE29D3">
      <w:pPr>
        <w:pStyle w:val="a3"/>
        <w:numPr>
          <w:ilvl w:val="0"/>
          <w:numId w:val="18"/>
        </w:numPr>
        <w:ind w:leftChars="0"/>
      </w:pPr>
      <w:r>
        <w:rPr>
          <w:rFonts w:hint="eastAsia"/>
        </w:rPr>
        <w:t>算出</w:t>
      </w:r>
      <w:proofErr w:type="spellStart"/>
      <w:r>
        <w:t>VaR</w:t>
      </w:r>
      <w:proofErr w:type="spellEnd"/>
      <w:r>
        <w:rPr>
          <w:rFonts w:hint="eastAsia"/>
        </w:rPr>
        <w:t>の大きさ（</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hint="eastAsia"/>
        </w:rPr>
        <w:t>）</w:t>
      </w:r>
    </w:p>
    <w:p w:rsidR="00DE29D3" w:rsidRDefault="00DE29D3" w:rsidP="00DE29D3">
      <w:r>
        <w:rPr>
          <w:rFonts w:hint="eastAsia"/>
        </w:rPr>
        <w:t>リスク計測の対象となるポートフォリオは、次に上げる７つの資産クラス全てについて、等しい割合で資産を保有している場合を対象とした。</w:t>
      </w:r>
    </w:p>
    <w:p w:rsidR="00DE29D3" w:rsidRDefault="00DE29D3" w:rsidP="00DE29D3">
      <w:pPr>
        <w:pStyle w:val="a3"/>
        <w:numPr>
          <w:ilvl w:val="0"/>
          <w:numId w:val="19"/>
        </w:numPr>
        <w:ind w:leftChars="0"/>
      </w:pPr>
      <w:r>
        <w:rPr>
          <w:rFonts w:hint="eastAsia"/>
        </w:rPr>
        <w:t>現在価値１のTOPIX</w:t>
      </w:r>
    </w:p>
    <w:p w:rsidR="00DE29D3" w:rsidRDefault="00DE29D3" w:rsidP="00DE29D3">
      <w:pPr>
        <w:pStyle w:val="a3"/>
        <w:numPr>
          <w:ilvl w:val="0"/>
          <w:numId w:val="19"/>
        </w:numPr>
        <w:ind w:leftChars="0"/>
      </w:pPr>
      <w:r>
        <w:rPr>
          <w:rFonts w:hint="eastAsia"/>
        </w:rPr>
        <w:t>現在価値１のS&amp;P500（為替ヘッジあり）</w:t>
      </w:r>
    </w:p>
    <w:p w:rsidR="00DE29D3" w:rsidRDefault="00DE29D3" w:rsidP="00DE29D3">
      <w:pPr>
        <w:pStyle w:val="a3"/>
        <w:numPr>
          <w:ilvl w:val="0"/>
          <w:numId w:val="19"/>
        </w:numPr>
        <w:ind w:leftChars="0"/>
      </w:pPr>
      <w:r>
        <w:rPr>
          <w:rFonts w:hint="eastAsia"/>
        </w:rPr>
        <w:t>現在価値１のUSD外国為替</w:t>
      </w:r>
    </w:p>
    <w:p w:rsidR="00DE29D3" w:rsidRDefault="00DE29D3" w:rsidP="00DE29D3">
      <w:pPr>
        <w:pStyle w:val="a3"/>
        <w:numPr>
          <w:ilvl w:val="0"/>
          <w:numId w:val="19"/>
        </w:numPr>
        <w:ind w:leftChars="0"/>
      </w:pPr>
      <w:r>
        <w:rPr>
          <w:rFonts w:hint="eastAsia"/>
        </w:rPr>
        <w:t>現在価値１の円LIBOR（１M）</w:t>
      </w:r>
    </w:p>
    <w:p w:rsidR="00DE29D3" w:rsidRDefault="00DE29D3" w:rsidP="00DE29D3">
      <w:pPr>
        <w:pStyle w:val="a3"/>
        <w:numPr>
          <w:ilvl w:val="0"/>
          <w:numId w:val="19"/>
        </w:numPr>
        <w:ind w:leftChars="0"/>
      </w:pPr>
      <w:r>
        <w:rPr>
          <w:rFonts w:hint="eastAsia"/>
        </w:rPr>
        <w:t>現在価値１のドルLIBOR（１M）（為替ヘッジあり）</w:t>
      </w:r>
    </w:p>
    <w:p w:rsidR="00DE29D3" w:rsidRDefault="00DE29D3" w:rsidP="00DE29D3">
      <w:pPr>
        <w:pStyle w:val="a3"/>
        <w:numPr>
          <w:ilvl w:val="0"/>
          <w:numId w:val="19"/>
        </w:numPr>
        <w:ind w:leftChars="0"/>
      </w:pPr>
      <w:r>
        <w:rPr>
          <w:rFonts w:hint="eastAsia"/>
        </w:rPr>
        <w:t>現在価値１の円スポットレート（３Y）</w:t>
      </w:r>
    </w:p>
    <w:p w:rsidR="00DE29D3" w:rsidRDefault="00DE29D3" w:rsidP="00DE29D3">
      <w:pPr>
        <w:pStyle w:val="a3"/>
        <w:numPr>
          <w:ilvl w:val="0"/>
          <w:numId w:val="19"/>
        </w:numPr>
        <w:ind w:leftChars="0"/>
      </w:pPr>
      <w:r>
        <w:rPr>
          <w:rFonts w:hint="eastAsia"/>
        </w:rPr>
        <w:t>現在価値１のドルスポットレート（３Y</w:t>
      </w:r>
      <w:r>
        <w:t>）</w:t>
      </w:r>
      <w:r>
        <w:rPr>
          <w:rFonts w:hint="eastAsia"/>
        </w:rPr>
        <w:t>（為替ヘッジあり）</w:t>
      </w:r>
    </w:p>
    <w:p w:rsidR="00DE29D3" w:rsidRDefault="00DE29D3" w:rsidP="00DE29D3"/>
    <w:p w:rsidR="00550231" w:rsidRDefault="00550231" w:rsidP="00550231">
      <w:pPr>
        <w:pStyle w:val="1"/>
      </w:pPr>
      <w:r>
        <w:rPr>
          <w:rFonts w:hint="eastAsia"/>
        </w:rPr>
        <w:t>評価指標の計算方法</w:t>
      </w:r>
    </w:p>
    <w:p w:rsidR="002B08F2" w:rsidRPr="002B08F2" w:rsidRDefault="002B08F2" w:rsidP="002B08F2">
      <w:pPr>
        <w:rPr>
          <w:rFonts w:hint="eastAsia"/>
        </w:rPr>
      </w:pPr>
      <w:r>
        <w:rPr>
          <w:rFonts w:hint="eastAsia"/>
          <w:lang w:eastAsia="zh-TW"/>
        </w:rPr>
        <w:t>評価指標</w:t>
      </w:r>
      <m:oMath>
        <m:sSub>
          <m:sSubPr>
            <m:ctrlPr>
              <w:rPr>
                <w:rFonts w:ascii="Cambria Math" w:hAnsi="Cambria Math"/>
                <w:i/>
                <w:lang w:eastAsia="zh-TW"/>
              </w:rPr>
            </m:ctrlPr>
          </m:sSubPr>
          <m:e>
            <m:r>
              <w:rPr>
                <w:rFonts w:ascii="Cambria Math" w:hAnsi="Cambria Math"/>
                <w:lang w:eastAsia="zh-TW"/>
              </w:rPr>
              <m:t>z</m:t>
            </m:r>
          </m:e>
          <m:sub>
            <m:r>
              <w:rPr>
                <w:rFonts w:ascii="Cambria Math" w:hAnsi="Cambria Math"/>
              </w:rPr>
              <m:t>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z</m:t>
            </m:r>
          </m:e>
          <m:sub>
            <m:r>
              <w:rPr>
                <w:rFonts w:ascii="Cambria Math" w:hAnsi="Cambria Math"/>
                <w:lang w:eastAsia="zh-TW"/>
              </w:rPr>
              <m:t>2</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z</m:t>
            </m:r>
          </m:e>
          <m:sub>
            <m:r>
              <w:rPr>
                <w:rFonts w:ascii="Cambria Math" w:hAnsi="Cambria Math"/>
                <w:lang w:eastAsia="zh-TW"/>
              </w:rPr>
              <m:t>3</m:t>
            </m:r>
          </m:sub>
        </m:sSub>
      </m:oMath>
      <w:r>
        <w:rPr>
          <w:rFonts w:hint="eastAsia"/>
        </w:rPr>
        <w:t>の導出方法</w:t>
      </w:r>
    </w:p>
    <w:p w:rsidR="00550231" w:rsidRDefault="00550231" w:rsidP="00550231">
      <w:pPr>
        <w:pStyle w:val="2"/>
        <w:rPr>
          <w:lang w:eastAsia="zh-TW"/>
        </w:rPr>
      </w:pPr>
      <w:r>
        <w:rPr>
          <w:rFonts w:hint="eastAsia"/>
          <w:lang w:eastAsia="zh-TW"/>
        </w:rPr>
        <w:t>評価指標</w:t>
      </w:r>
      <m:oMath>
        <m:sSub>
          <m:sSubPr>
            <m:ctrlPr>
              <w:rPr>
                <w:rFonts w:ascii="Cambria Math" w:hAnsi="Cambria Math"/>
                <w:i/>
              </w:rPr>
            </m:ctrlPr>
          </m:sSubPr>
          <m:e>
            <m:r>
              <w:rPr>
                <w:rFonts w:ascii="Cambria Math" w:hAnsi="Cambria Math"/>
                <w:lang w:eastAsia="zh-TW"/>
              </w:rPr>
              <m:t>z</m:t>
            </m:r>
          </m:e>
          <m:sub>
            <m:r>
              <w:rPr>
                <w:rFonts w:ascii="Cambria Math" w:hAnsi="Cambria Math"/>
                <w:lang w:eastAsia="zh-TW"/>
              </w:rPr>
              <m:t>1</m:t>
            </m:r>
          </m:sub>
        </m:sSub>
      </m:oMath>
      <w:r>
        <w:rPr>
          <w:rFonts w:hint="eastAsia"/>
          <w:lang w:eastAsia="zh-TW"/>
        </w:rPr>
        <w:t>（超過回数）</w:t>
      </w:r>
    </w:p>
    <w:p w:rsidR="00550231" w:rsidRDefault="00550231" w:rsidP="00550231">
      <w:r w:rsidRPr="00C246E7">
        <w:rPr>
          <w:rFonts w:hint="eastAsia"/>
          <w:highlight w:val="yellow"/>
        </w:rPr>
        <w:t>ヒストリカル法を用いた場合</w:t>
      </w:r>
    </w:p>
    <w:p w:rsidR="0081454B" w:rsidRDefault="00114C37" w:rsidP="00550231">
      <w:r>
        <w:rPr>
          <w:rFonts w:hint="eastAsia"/>
        </w:rPr>
        <w:t>ヒストリカル法の場合、検証対象日</w:t>
      </w:r>
      <m:oMath>
        <m:r>
          <w:rPr>
            <w:rFonts w:ascii="Cambria Math" w:hAnsi="Cambria Math"/>
          </w:rPr>
          <m:t>τ</m:t>
        </m:r>
      </m:oMath>
      <w:r>
        <w:rPr>
          <w:rFonts w:hint="eastAsia"/>
        </w:rPr>
        <w:t>ごとに収益率分布の小さい方から1％点を代表する値を取り出す必要がある。</w:t>
      </w:r>
    </w:p>
    <w:p w:rsidR="00114C37" w:rsidRDefault="00114C37" w:rsidP="00114C37">
      <w:pPr>
        <w:pStyle w:val="a3"/>
        <w:numPr>
          <w:ilvl w:val="0"/>
          <w:numId w:val="20"/>
        </w:numPr>
        <w:ind w:leftChars="0"/>
      </w:pPr>
      <w:r>
        <w:lastRenderedPageBreak/>
        <w:t>Moving-Window</w:t>
      </w:r>
      <w:r>
        <w:rPr>
          <w:rFonts w:hint="eastAsia"/>
        </w:rPr>
        <w:t>法、ルート</w:t>
      </w:r>
      <w:proofErr w:type="gramStart"/>
      <w:r>
        <w:rPr>
          <w:rFonts w:hint="eastAsia"/>
        </w:rPr>
        <w:t>t</w:t>
      </w:r>
      <w:proofErr w:type="gramEnd"/>
      <w:r>
        <w:rPr>
          <w:rFonts w:hint="eastAsia"/>
        </w:rPr>
        <w:t>倍法における各</w:t>
      </w:r>
      <m:oMath>
        <m:r>
          <w:rPr>
            <w:rFonts w:ascii="Cambria Math" w:hAnsi="Cambria Math"/>
          </w:rPr>
          <m:t>d</m:t>
        </m:r>
      </m:oMath>
      <w:r>
        <w:rPr>
          <w:rFonts w:hint="eastAsia"/>
        </w:rPr>
        <w:t>（観測期間）での代表値</w:t>
      </w:r>
    </w:p>
    <w:p w:rsidR="00114C37" w:rsidRDefault="00114C37" w:rsidP="00114C37">
      <w:pPr>
        <w:pStyle w:val="a3"/>
        <w:numPr>
          <w:ilvl w:val="1"/>
          <w:numId w:val="20"/>
        </w:numPr>
        <w:ind w:leftChars="0"/>
      </w:pPr>
      <m:oMath>
        <m:r>
          <w:rPr>
            <w:rFonts w:ascii="Cambria Math" w:hAnsi="Cambria Math"/>
          </w:rPr>
          <m:t>d=250</m:t>
        </m:r>
      </m:oMath>
      <w:r>
        <w:rPr>
          <w:rFonts w:hint="eastAsia"/>
        </w:rPr>
        <w:t>：小さい方から3番目の収益率</w:t>
      </w:r>
    </w:p>
    <w:p w:rsidR="00114C37" w:rsidRPr="00550231" w:rsidRDefault="00114C37" w:rsidP="00114C37">
      <w:pPr>
        <w:pStyle w:val="a3"/>
        <w:numPr>
          <w:ilvl w:val="1"/>
          <w:numId w:val="20"/>
        </w:numPr>
        <w:ind w:leftChars="0"/>
        <w:rPr>
          <w:rFonts w:hint="eastAsia"/>
        </w:rPr>
      </w:pPr>
      <m:oMath>
        <m:r>
          <w:rPr>
            <w:rFonts w:ascii="Cambria Math" w:hAnsi="Cambria Math"/>
          </w:rPr>
          <m:t>d=500</m:t>
        </m:r>
      </m:oMath>
      <w:r>
        <w:rPr>
          <w:rFonts w:hint="eastAsia"/>
        </w:rPr>
        <w:t>：小さい方から５番目と６番目の収益率の平均値</w:t>
      </w:r>
    </w:p>
    <w:p w:rsidR="00114C37" w:rsidRPr="00550231" w:rsidRDefault="00114C37" w:rsidP="00114C37">
      <w:pPr>
        <w:pStyle w:val="a3"/>
        <w:numPr>
          <w:ilvl w:val="1"/>
          <w:numId w:val="20"/>
        </w:numPr>
        <w:ind w:leftChars="0"/>
        <w:rPr>
          <w:rFonts w:hint="eastAsia"/>
        </w:rPr>
      </w:pPr>
      <m:oMath>
        <m:r>
          <w:rPr>
            <w:rFonts w:ascii="Cambria Math" w:hAnsi="Cambria Math"/>
          </w:rPr>
          <m:t>d=750</m:t>
        </m:r>
      </m:oMath>
      <w:r>
        <w:rPr>
          <w:rFonts w:hint="eastAsia"/>
        </w:rPr>
        <w:t>：小さい方から８番目の収益率</w:t>
      </w:r>
    </w:p>
    <w:p w:rsidR="00114C37" w:rsidRDefault="00114C37" w:rsidP="00114C37">
      <w:pPr>
        <w:pStyle w:val="a3"/>
        <w:numPr>
          <w:ilvl w:val="0"/>
          <w:numId w:val="20"/>
        </w:numPr>
        <w:ind w:leftChars="0"/>
      </w:pPr>
      <w:r>
        <w:t>Box-Car</w:t>
      </w:r>
      <w:r>
        <w:rPr>
          <w:rFonts w:hint="eastAsia"/>
        </w:rPr>
        <w:t>法の場合</w:t>
      </w:r>
    </w:p>
    <w:p w:rsidR="00114C37" w:rsidRDefault="00114C37" w:rsidP="00114C37">
      <w:pPr>
        <w:pStyle w:val="a3"/>
        <w:numPr>
          <w:ilvl w:val="1"/>
          <w:numId w:val="20"/>
        </w:numPr>
        <w:ind w:leftChars="0"/>
      </w:pPr>
      <w:r>
        <w:rPr>
          <w:rFonts w:hint="eastAsia"/>
        </w:rPr>
        <w:t>分析に使用するデータ数が少ないため１％点を代表する値が存在しないモデルが発生する。</w:t>
      </w:r>
      <w:r>
        <w:t>(</w:t>
      </w:r>
      <w:r>
        <w:rPr>
          <w:rFonts w:hint="eastAsia"/>
        </w:rPr>
        <w:t>観察期間250日、保有期間10日の場合、データ数は25となり、</w:t>
      </w:r>
      <w:r>
        <w:t>1%</w:t>
      </w:r>
      <w:r>
        <w:rPr>
          <w:rFonts w:hint="eastAsia"/>
        </w:rPr>
        <w:t>点がない。)</w:t>
      </w:r>
    </w:p>
    <w:p w:rsidR="00114C37" w:rsidRDefault="00114C37" w:rsidP="00114C37">
      <w:pPr>
        <w:pStyle w:val="a3"/>
        <w:numPr>
          <w:ilvl w:val="1"/>
          <w:numId w:val="20"/>
        </w:numPr>
        <w:ind w:leftChars="0"/>
      </w:pPr>
      <w:r>
        <w:rPr>
          <w:rFonts w:hint="eastAsia"/>
        </w:rPr>
        <w:t>本節では、1％点に最も近いところを代表値とする近似や線形補間等を用いて求めている。</w:t>
      </w:r>
    </w:p>
    <w:p w:rsidR="00114C37" w:rsidRDefault="00114C37" w:rsidP="00114C37">
      <w:r>
        <w:rPr>
          <w:rFonts w:hint="eastAsia"/>
        </w:rPr>
        <w:t>上記の手法で得られた</w:t>
      </w:r>
      <w:r w:rsidR="00C246E7">
        <w:rPr>
          <w:rFonts w:hint="eastAsia"/>
        </w:rPr>
        <w:t>、それぞれ</w:t>
      </w:r>
      <m:oMath>
        <m:r>
          <w:rPr>
            <w:rFonts w:ascii="Cambria Math" w:hAnsi="Cambria Math"/>
          </w:rPr>
          <m:t>τ</m:t>
        </m:r>
      </m:oMath>
      <w:r w:rsidR="00C246E7">
        <w:rPr>
          <w:rFonts w:hint="eastAsia"/>
        </w:rPr>
        <w:t>での収益率と、実際の収益率と比較する。</w:t>
      </w:r>
    </w:p>
    <w:p w:rsidR="00C246E7" w:rsidRPr="00C246E7" w:rsidRDefault="00C246E7" w:rsidP="00C246E7">
      <w:pPr>
        <w:pStyle w:val="a3"/>
        <w:numPr>
          <w:ilvl w:val="0"/>
          <w:numId w:val="21"/>
        </w:numPr>
        <w:ind w:leftChars="0"/>
      </w:pPr>
      <w:r>
        <w:rPr>
          <w:rFonts w:hint="eastAsia"/>
        </w:rPr>
        <w:t>保有期間1日の場合：</w:t>
      </w:r>
      <m:oMath>
        <m:sSubSup>
          <m:sSubSupPr>
            <m:ctrlPr>
              <w:rPr>
                <w:rFonts w:ascii="Cambria Math" w:hAnsi="Cambria Math"/>
                <w:i/>
              </w:rPr>
            </m:ctrlPr>
          </m:sSubSupPr>
          <m:e>
            <m:r>
              <w:rPr>
                <w:rFonts w:ascii="Cambria Math" w:hAnsi="Cambria Math"/>
              </w:rPr>
              <m:t>x</m:t>
            </m:r>
          </m:e>
          <m:sub>
            <m:r>
              <w:rPr>
                <w:rFonts w:ascii="Cambria Math" w:hAnsi="Cambria Math"/>
              </w:rPr>
              <m:t>τ</m:t>
            </m:r>
          </m:sub>
          <m:sup>
            <m:d>
              <m:dPr>
                <m:ctrlPr>
                  <w:rPr>
                    <w:rFonts w:ascii="Cambria Math" w:hAnsi="Cambria Math"/>
                    <w:i/>
                  </w:rPr>
                </m:ctrlPr>
              </m:dPr>
              <m:e>
                <m:r>
                  <w:rPr>
                    <w:rFonts w:ascii="Cambria Math" w:hAnsi="Cambria Math"/>
                  </w:rPr>
                  <m:t>1</m:t>
                </m:r>
              </m:e>
            </m:d>
          </m:sup>
        </m:sSubSup>
        <m:r>
          <m:rPr>
            <m:sty m:val="p"/>
          </m:rPr>
          <w:rPr>
            <w:rFonts w:ascii="Cambria Math" w:hAnsi="Cambria Math" w:hint="eastAsia"/>
          </w:rPr>
          <m:t>と比較する</m:t>
        </m:r>
      </m:oMath>
    </w:p>
    <w:p w:rsidR="00C246E7" w:rsidRPr="00C246E7" w:rsidRDefault="00C246E7" w:rsidP="00C246E7">
      <w:pPr>
        <w:pStyle w:val="a3"/>
        <w:numPr>
          <w:ilvl w:val="0"/>
          <w:numId w:val="21"/>
        </w:numPr>
        <w:ind w:leftChars="0"/>
      </w:pPr>
      <w:r>
        <w:rPr>
          <w:rFonts w:hint="eastAsia"/>
        </w:rPr>
        <w:t>保有期間1</w:t>
      </w:r>
      <w:r>
        <w:t>0</w:t>
      </w:r>
      <w:r>
        <w:rPr>
          <w:rFonts w:hint="eastAsia"/>
        </w:rPr>
        <w:t>日の場合：</w:t>
      </w:r>
      <m:oMath>
        <m:sSubSup>
          <m:sSubSupPr>
            <m:ctrlPr>
              <w:rPr>
                <w:rFonts w:ascii="Cambria Math" w:hAnsi="Cambria Math"/>
                <w:i/>
              </w:rPr>
            </m:ctrlPr>
          </m:sSubSupPr>
          <m:e>
            <m:r>
              <w:rPr>
                <w:rFonts w:ascii="Cambria Math" w:hAnsi="Cambria Math"/>
              </w:rPr>
              <m:t>x</m:t>
            </m:r>
          </m:e>
          <m:sub>
            <m:r>
              <w:rPr>
                <w:rFonts w:ascii="Cambria Math" w:hAnsi="Cambria Math"/>
              </w:rPr>
              <m:t>τ</m:t>
            </m:r>
          </m:sub>
          <m:sup>
            <m:d>
              <m:dPr>
                <m:ctrlPr>
                  <w:rPr>
                    <w:rFonts w:ascii="Cambria Math" w:hAnsi="Cambria Math"/>
                    <w:i/>
                  </w:rPr>
                </m:ctrlPr>
              </m:dPr>
              <m:e>
                <m:r>
                  <w:rPr>
                    <w:rFonts w:ascii="Cambria Math" w:hAnsi="Cambria Math"/>
                  </w:rPr>
                  <m:t>10</m:t>
                </m:r>
                <m:ctrlPr>
                  <w:rPr>
                    <w:rFonts w:ascii="Cambria Math" w:hAnsi="Cambria Math" w:hint="eastAsia"/>
                    <w:i/>
                  </w:rPr>
                </m:ctrlPr>
              </m:e>
            </m:d>
          </m:sup>
        </m:sSubSup>
        <m:r>
          <m:rPr>
            <m:sty m:val="p"/>
          </m:rPr>
          <w:rPr>
            <w:rFonts w:ascii="Cambria Math" w:hAnsi="Cambria Math" w:hint="eastAsia"/>
          </w:rPr>
          <m:t>と比較する</m:t>
        </m:r>
      </m:oMath>
    </w:p>
    <w:p w:rsidR="00C246E7" w:rsidRDefault="00C246E7" w:rsidP="00C246E7">
      <w:r>
        <w:rPr>
          <w:rFonts w:hint="eastAsia"/>
        </w:rPr>
        <w:t>この検証を、全期間に属する</w:t>
      </w:r>
      <w:proofErr w:type="gramStart"/>
      <w:r>
        <w:rPr>
          <w:rFonts w:hint="eastAsia"/>
        </w:rPr>
        <w:t>すべての</w:t>
      </w:r>
      <m:oMath>
        <m:r>
          <w:rPr>
            <w:rFonts w:ascii="Cambria Math" w:hAnsi="Cambria Math"/>
          </w:rPr>
          <m:t>τ</m:t>
        </m:r>
      </m:oMath>
      <w:r>
        <w:rPr>
          <w:rFonts w:hint="eastAsia"/>
        </w:rPr>
        <w:t>について行い</w:t>
      </w:r>
      <w:proofErr w:type="gramEnd"/>
      <w:r>
        <w:rPr>
          <w:rFonts w:hint="eastAsia"/>
        </w:rPr>
        <w:t>、超過回数をカウントする。</w:t>
      </w:r>
    </w:p>
    <w:p w:rsidR="00C246E7" w:rsidRDefault="00C246E7" w:rsidP="00C246E7"/>
    <w:p w:rsidR="00C246E7" w:rsidRDefault="00C246E7" w:rsidP="00C246E7">
      <w:r w:rsidRPr="00C246E7">
        <w:rPr>
          <w:rFonts w:hint="eastAsia"/>
          <w:highlight w:val="yellow"/>
        </w:rPr>
        <w:t>デルタ法の場合</w:t>
      </w:r>
    </w:p>
    <w:p w:rsidR="00C246E7" w:rsidRDefault="00C246E7" w:rsidP="00C246E7">
      <w:r>
        <w:rPr>
          <w:rFonts w:hint="eastAsia"/>
        </w:rPr>
        <w:t>分散共分散法では、将来の収益率が次の分布で与えられるため、</w:t>
      </w:r>
    </w:p>
    <w:p w:rsidR="00C246E7" w:rsidRPr="00C246E7" w:rsidRDefault="00C246E7" w:rsidP="00C246E7">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all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all</m:t>
                  </m:r>
                </m:sub>
              </m:sSub>
            </m:e>
          </m:d>
        </m:oMath>
      </m:oMathPara>
      <w:bookmarkStart w:id="0" w:name="_GoBack"/>
      <w:bookmarkEnd w:id="0"/>
    </w:p>
    <w:p w:rsidR="00C246E7" w:rsidRDefault="00C246E7" w:rsidP="00C246E7">
      <w:r>
        <w:rPr>
          <w:rFonts w:hint="eastAsia"/>
        </w:rPr>
        <w:t>この収益率分布から</w:t>
      </w:r>
      <w:proofErr w:type="spellStart"/>
      <w:r>
        <w:t>VaR</w:t>
      </w:r>
      <w:proofErr w:type="spellEnd"/>
      <w:r>
        <w:rPr>
          <w:rFonts w:hint="eastAsia"/>
        </w:rPr>
        <w:t>は次の量で予測される。</w:t>
      </w:r>
    </w:p>
    <w:p w:rsidR="00C246E7" w:rsidRPr="00C246E7" w:rsidRDefault="00C246E7" w:rsidP="00C246E7">
      <m:oMathPara>
        <m:oMath>
          <m:sSub>
            <m:sSubPr>
              <m:ctrlPr>
                <w:rPr>
                  <w:rFonts w:ascii="Cambria Math" w:hAnsi="Cambria Math"/>
                  <w:i/>
                </w:rPr>
              </m:ctrlPr>
            </m:sSubPr>
            <m:e>
              <m:r>
                <w:rPr>
                  <w:rFonts w:ascii="Cambria Math" w:hAnsi="Cambria Math"/>
                </w:rPr>
                <m:t>μ</m:t>
              </m:r>
            </m:e>
            <m:sub>
              <m:r>
                <w:rPr>
                  <w:rFonts w:ascii="Cambria Math" w:hAnsi="Cambria Math"/>
                </w:rPr>
                <m:t>all</m:t>
              </m:r>
            </m:sub>
          </m:sSub>
          <m:r>
            <w:rPr>
              <w:rFonts w:ascii="Cambria Math" w:hAnsi="Cambria Math"/>
            </w:rPr>
            <m:t>-2.33</m:t>
          </m:r>
          <m:sSub>
            <m:sSubPr>
              <m:ctrlPr>
                <w:rPr>
                  <w:rFonts w:ascii="Cambria Math" w:hAnsi="Cambria Math"/>
                  <w:i/>
                </w:rPr>
              </m:ctrlPr>
            </m:sSubPr>
            <m:e>
              <m:r>
                <w:rPr>
                  <w:rFonts w:ascii="Cambria Math" w:hAnsi="Cambria Math"/>
                </w:rPr>
                <m:t>σ</m:t>
              </m:r>
            </m:e>
            <m:sub>
              <m:r>
                <w:rPr>
                  <w:rFonts w:ascii="Cambria Math" w:hAnsi="Cambria Math"/>
                </w:rPr>
                <m:t>all</m:t>
              </m:r>
            </m:sub>
          </m:sSub>
        </m:oMath>
      </m:oMathPara>
    </w:p>
    <w:p w:rsidR="00C246E7" w:rsidRDefault="00C246E7" w:rsidP="00C246E7">
      <w:r>
        <w:rPr>
          <w:rFonts w:hint="eastAsia"/>
        </w:rPr>
        <w:t>この値と、実際の収益率とを比較する。</w:t>
      </w:r>
    </w:p>
    <w:p w:rsidR="00C246E7" w:rsidRDefault="00C246E7" w:rsidP="00C246E7"/>
    <w:p w:rsidR="00C246E7" w:rsidRDefault="00C246E7" w:rsidP="00C246E7">
      <w:pPr>
        <w:pStyle w:val="2"/>
      </w:pPr>
      <w:r>
        <w:rPr>
          <w:rFonts w:hint="eastAsia"/>
        </w:rPr>
        <w:t>評価指標</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hint="eastAsia"/>
        </w:rPr>
        <w:t>（収益率分布の形状）</w:t>
      </w:r>
    </w:p>
    <w:p w:rsidR="00C246E7" w:rsidRDefault="00C246E7" w:rsidP="00C246E7">
      <w:r w:rsidRPr="00541AF8">
        <w:rPr>
          <w:rFonts w:hint="eastAsia"/>
          <w:highlight w:val="yellow"/>
        </w:rPr>
        <w:t>ヒストリカル法の場合</w:t>
      </w:r>
    </w:p>
    <w:p w:rsidR="00C246E7" w:rsidRDefault="00C246E7" w:rsidP="00C246E7">
      <w:r>
        <w:rPr>
          <w:rFonts w:hint="eastAsia"/>
        </w:rPr>
        <w:t>ヒストリカルシミュレーションの場合、将来の収益率分布は離散分布で得られ、</w:t>
      </w:r>
    </w:p>
    <w:p w:rsidR="00C246E7" w:rsidRPr="00C246E7" w:rsidRDefault="00C246E7" w:rsidP="00C246E7">
      <m:oMathPara>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x</m:t>
              </m:r>
            </m:e>
          </m:d>
        </m:oMath>
      </m:oMathPara>
    </w:p>
    <w:p w:rsidR="00C246E7" w:rsidRDefault="00C246E7" w:rsidP="00C246E7">
      <w:proofErr w:type="gramStart"/>
      <w:r>
        <w:rPr>
          <w:rFonts w:hint="eastAsia"/>
        </w:rPr>
        <w:t>この</w:t>
      </w:r>
      <m:oMath>
        <m:sSub>
          <m:sSubPr>
            <m:ctrlPr>
              <w:rPr>
                <w:rFonts w:ascii="Cambria Math" w:hAnsi="Cambria Math"/>
                <w:i/>
              </w:rPr>
            </m:ctrlPr>
          </m:sSubPr>
          <m:e>
            <m:r>
              <w:rPr>
                <w:rFonts w:ascii="Cambria Math" w:hAnsi="Cambria Math"/>
              </w:rPr>
              <m:t>u</m:t>
            </m:r>
          </m:e>
          <m:sub>
            <m:r>
              <w:rPr>
                <w:rFonts w:ascii="Cambria Math" w:hAnsi="Cambria Math"/>
              </w:rPr>
              <m:t>τ</m:t>
            </m:r>
          </m:sub>
        </m:sSub>
        <m:d>
          <m:dPr>
            <m:ctrlPr>
              <w:rPr>
                <w:rFonts w:ascii="Cambria Math" w:hAnsi="Cambria Math"/>
                <w:i/>
              </w:rPr>
            </m:ctrlPr>
          </m:dPr>
          <m:e>
            <m:r>
              <w:rPr>
                <w:rFonts w:ascii="Cambria Math" w:hAnsi="Cambria Math"/>
              </w:rPr>
              <m:t>x</m:t>
            </m:r>
          </m:e>
        </m:d>
      </m:oMath>
      <w:r>
        <w:rPr>
          <w:rFonts w:hint="eastAsia"/>
        </w:rPr>
        <w:t>の</w:t>
      </w:r>
      <w:proofErr w:type="gramEnd"/>
      <w:r>
        <w:rPr>
          <w:rFonts w:hint="eastAsia"/>
        </w:rPr>
        <w:t>累積分布を次のように表す。</w:t>
      </w:r>
    </w:p>
    <w:p w:rsidR="00C246E7" w:rsidRPr="00C246E7" w:rsidRDefault="00C246E7" w:rsidP="00C246E7">
      <m:oMathPara>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ξ=-∞</m:t>
              </m:r>
            </m:sub>
            <m:sup>
              <m:r>
                <w:rPr>
                  <w:rFonts w:ascii="Cambria Math" w:hAnsi="Cambria Math"/>
                </w:rPr>
                <m:t>x</m:t>
              </m:r>
            </m:sup>
            <m:e>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ξ</m:t>
                  </m:r>
                </m:e>
              </m:d>
            </m:e>
          </m:nary>
        </m:oMath>
      </m:oMathPara>
    </w:p>
    <w:p w:rsidR="00C246E7" w:rsidRDefault="00C246E7" w:rsidP="00C246E7">
      <w:r>
        <w:rPr>
          <w:rFonts w:hint="eastAsia"/>
        </w:rPr>
        <w:t>モデルにより代入する値は異なり、以下の通りである。</w:t>
      </w:r>
    </w:p>
    <w:p w:rsidR="00C246E7" w:rsidRDefault="00C246E7" w:rsidP="00C246E7">
      <w:pPr>
        <w:pStyle w:val="a3"/>
        <w:numPr>
          <w:ilvl w:val="0"/>
          <w:numId w:val="22"/>
        </w:numPr>
        <w:ind w:leftChars="0"/>
      </w:pPr>
      <w:r>
        <w:rPr>
          <w:rFonts w:hint="eastAsia"/>
        </w:rPr>
        <w:t>保有期間1日の検証の場合：</w:t>
      </w:r>
      <m:oMath>
        <m:sSubSup>
          <m:sSubSupPr>
            <m:ctrlPr>
              <w:rPr>
                <w:rFonts w:ascii="Cambria Math" w:hAnsi="Cambria Math"/>
                <w:i/>
              </w:rPr>
            </m:ctrlPr>
          </m:sSubSupPr>
          <m:e>
            <m:r>
              <w:rPr>
                <w:rFonts w:ascii="Cambria Math" w:hAnsi="Cambria Math"/>
              </w:rPr>
              <m:t>X</m:t>
            </m:r>
          </m:e>
          <m:sub>
            <m:r>
              <w:rPr>
                <w:rFonts w:ascii="Cambria Math" w:hAnsi="Cambria Math"/>
              </w:rPr>
              <m:t>τ</m:t>
            </m:r>
          </m:sub>
          <m:sup>
            <m:r>
              <w:rPr>
                <w:rFonts w:ascii="Cambria Math" w:hAnsi="Cambria Math"/>
              </w:rPr>
              <m:t>(1)</m:t>
            </m:r>
          </m:sup>
        </m:sSubSup>
      </m:oMath>
      <w:r>
        <w:rPr>
          <w:rFonts w:hint="eastAsia"/>
        </w:rPr>
        <w:t>を代入する</w:t>
      </w:r>
    </w:p>
    <w:p w:rsidR="00C246E7" w:rsidRDefault="00C246E7" w:rsidP="00C246E7">
      <w:pPr>
        <w:pStyle w:val="a3"/>
        <w:numPr>
          <w:ilvl w:val="0"/>
          <w:numId w:val="22"/>
        </w:numPr>
        <w:ind w:leftChars="0"/>
      </w:pPr>
      <w:r>
        <w:rPr>
          <w:rFonts w:hint="eastAsia"/>
        </w:rPr>
        <w:t>保有期間1</w:t>
      </w:r>
      <w:r>
        <w:t>0</w:t>
      </w:r>
      <w:r>
        <w:rPr>
          <w:rFonts w:hint="eastAsia"/>
        </w:rPr>
        <w:t>日の検証の場合：</w:t>
      </w:r>
      <m:oMath>
        <m:sSubSup>
          <m:sSubSupPr>
            <m:ctrlPr>
              <w:rPr>
                <w:rFonts w:ascii="Cambria Math" w:hAnsi="Cambria Math"/>
                <w:i/>
              </w:rPr>
            </m:ctrlPr>
          </m:sSubSupPr>
          <m:e>
            <m:r>
              <w:rPr>
                <w:rFonts w:ascii="Cambria Math" w:hAnsi="Cambria Math"/>
              </w:rPr>
              <m:t>X</m:t>
            </m:r>
          </m:e>
          <m:sub>
            <m:r>
              <w:rPr>
                <w:rFonts w:ascii="Cambria Math" w:hAnsi="Cambria Math"/>
              </w:rPr>
              <m:t>τ</m:t>
            </m:r>
          </m:sub>
          <m:sup>
            <m:r>
              <w:rPr>
                <w:rFonts w:ascii="Cambria Math" w:hAnsi="Cambria Math"/>
              </w:rPr>
              <m:t>(10)</m:t>
            </m:r>
          </m:sup>
        </m:sSubSup>
      </m:oMath>
      <w:r>
        <w:rPr>
          <w:rFonts w:hint="eastAsia"/>
        </w:rPr>
        <w:t>を代入する</w:t>
      </w:r>
    </w:p>
    <w:p w:rsidR="00697AF2" w:rsidRDefault="008D27C6" w:rsidP="00697AF2">
      <w:r>
        <w:rPr>
          <w:rFonts w:hint="eastAsia"/>
        </w:rPr>
        <w:t>ヒストリカル法の場合、実際の収益率</w:t>
      </w:r>
      <m:oMath>
        <m:sSub>
          <m:sSubPr>
            <m:ctrlPr>
              <w:rPr>
                <w:rFonts w:ascii="Cambria Math" w:hAnsi="Cambria Math"/>
                <w:i/>
              </w:rPr>
            </m:ctrlPr>
          </m:sSubPr>
          <m:e>
            <m:r>
              <w:rPr>
                <w:rFonts w:ascii="Cambria Math" w:hAnsi="Cambria Math"/>
              </w:rPr>
              <m:t>X</m:t>
            </m:r>
          </m:e>
          <m:sub>
            <m:r>
              <w:rPr>
                <w:rFonts w:ascii="Cambria Math" w:hAnsi="Cambria Math"/>
              </w:rPr>
              <m:t>τ</m:t>
            </m:r>
          </m:sub>
        </m:sSub>
      </m:oMath>
      <w:r>
        <w:rPr>
          <w:rFonts w:hint="eastAsia"/>
        </w:rPr>
        <w:t>は</w:t>
      </w:r>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x</m:t>
            </m:r>
          </m:e>
        </m:d>
      </m:oMath>
      <w:proofErr w:type="gramStart"/>
      <w:r>
        <w:rPr>
          <w:rFonts w:hint="eastAsia"/>
        </w:rPr>
        <w:t>に</w:t>
      </w:r>
      <w:proofErr w:type="gramEnd"/>
      <w:r>
        <w:rPr>
          <w:rFonts w:hint="eastAsia"/>
        </w:rPr>
        <w:t>属する2つの収益率</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に挟まれる形となる。</w:t>
      </w:r>
    </w:p>
    <w:p w:rsidR="008D27C6" w:rsidRPr="008D27C6" w:rsidRDefault="008D27C6" w:rsidP="00697AF2">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rsidR="008D27C6" w:rsidRDefault="008D27C6" w:rsidP="00697AF2">
      <w:r>
        <w:rPr>
          <w:rFonts w:hint="eastAsia"/>
        </w:rPr>
        <w:t>したがって、次のような線形補間により、</w:t>
      </w:r>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X</m:t>
            </m:r>
          </m:e>
        </m:d>
      </m:oMath>
      <w:r>
        <w:rPr>
          <w:rFonts w:hint="eastAsia"/>
        </w:rPr>
        <w:t>の値を推定する。</w:t>
      </w:r>
    </w:p>
    <w:p w:rsidR="008D27C6" w:rsidRPr="008D27C6" w:rsidRDefault="008D27C6" w:rsidP="00697AF2">
      <m:oMathPara>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τ</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τ</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τ</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τ</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den>
          </m:f>
        </m:oMath>
      </m:oMathPara>
    </w:p>
    <w:p w:rsidR="008D27C6" w:rsidRDefault="008D27C6" w:rsidP="00697AF2">
      <w:r>
        <w:rPr>
          <w:rFonts w:hint="eastAsia"/>
        </w:rPr>
        <w:t>ヒストリカル法では、過去の収益率データに存在しない大きな損失額が発生した場合は</w:t>
      </w:r>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τ</m:t>
                </m:r>
              </m:sub>
            </m:sSub>
          </m:e>
        </m:d>
        <m:r>
          <w:rPr>
            <w:rFonts w:ascii="Cambria Math" w:hAnsi="Cambria Math"/>
          </w:rPr>
          <m:t>=0</m:t>
        </m:r>
      </m:oMath>
      <w:r>
        <w:rPr>
          <w:rFonts w:hint="eastAsia"/>
        </w:rPr>
        <w:t>となり、過去の収益率データに存在しない大きな利益が生じた場合</w:t>
      </w:r>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τ</m:t>
                </m:r>
              </m:sub>
            </m:sSub>
          </m:e>
        </m:d>
        <m:r>
          <w:rPr>
            <w:rFonts w:ascii="Cambria Math" w:hAnsi="Cambria Math"/>
          </w:rPr>
          <m:t>=1</m:t>
        </m:r>
      </m:oMath>
      <w:r>
        <w:rPr>
          <w:rFonts w:hint="eastAsia"/>
        </w:rPr>
        <w:t>となる。</w:t>
      </w:r>
    </w:p>
    <w:p w:rsidR="00541AF8" w:rsidRDefault="00541AF8" w:rsidP="00697AF2">
      <w:pPr>
        <w:rPr>
          <w:rFonts w:hint="eastAsia"/>
        </w:rPr>
      </w:pPr>
    </w:p>
    <w:p w:rsidR="00933B7C" w:rsidRDefault="00933B7C" w:rsidP="00697AF2">
      <w:r w:rsidRPr="00541AF8">
        <w:rPr>
          <w:rFonts w:hint="eastAsia"/>
          <w:highlight w:val="yellow"/>
        </w:rPr>
        <w:t>デルタ法の場合</w:t>
      </w:r>
    </w:p>
    <w:p w:rsidR="00933B7C" w:rsidRDefault="00541AF8" w:rsidP="00697AF2">
      <w:r>
        <w:rPr>
          <w:rFonts w:hint="eastAsia"/>
        </w:rPr>
        <w:t>デルタ法では、将来の収益率が正規分布で与えられる。この収益率分布の累積分布を次のように表す。</w:t>
      </w:r>
    </w:p>
    <w:p w:rsidR="00541AF8" w:rsidRPr="00541AF8" w:rsidRDefault="00541AF8" w:rsidP="00697AF2">
      <m:oMathPara>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x</m:t>
              </m:r>
            </m:sup>
            <m:e>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ξ</m:t>
                  </m:r>
                </m:e>
              </m:d>
              <m:r>
                <w:rPr>
                  <w:rFonts w:ascii="Cambria Math" w:hAnsi="Cambria Math"/>
                </w:rPr>
                <m:t>dξ</m:t>
              </m:r>
            </m:e>
          </m:nary>
        </m:oMath>
      </m:oMathPara>
    </w:p>
    <w:p w:rsidR="00541AF8" w:rsidRDefault="00541AF8" w:rsidP="00697AF2">
      <m:oMath>
        <m:sSub>
          <m:sSubPr>
            <m:ctrlPr>
              <w:rPr>
                <w:rFonts w:ascii="Cambria Math" w:hAnsi="Cambria Math"/>
                <w:i/>
              </w:rPr>
            </m:ctrlPr>
          </m:sSubPr>
          <m:e>
            <m:r>
              <w:rPr>
                <w:rFonts w:ascii="Cambria Math" w:hAnsi="Cambria Math"/>
              </w:rPr>
              <m:t>F</m:t>
            </m:r>
          </m:e>
          <m:sub>
            <m:r>
              <w:rPr>
                <w:rFonts w:ascii="Cambria Math" w:hAnsi="Cambria Math"/>
              </w:rPr>
              <m:t>τ</m:t>
            </m:r>
          </m:sub>
        </m:sSub>
        <m:d>
          <m:dPr>
            <m:ctrlPr>
              <w:rPr>
                <w:rFonts w:ascii="Cambria Math" w:hAnsi="Cambria Math"/>
                <w:i/>
              </w:rPr>
            </m:ctrlPr>
          </m:dPr>
          <m:e>
            <m:r>
              <w:rPr>
                <w:rFonts w:ascii="Cambria Math" w:hAnsi="Cambria Math"/>
              </w:rPr>
              <m:t>x</m:t>
            </m:r>
          </m:e>
        </m:d>
      </m:oMath>
      <w:r>
        <w:rPr>
          <w:rFonts w:hint="eastAsia"/>
        </w:rPr>
        <w:t>の</w:t>
      </w:r>
      <m:oMath>
        <m:r>
          <w:rPr>
            <w:rFonts w:ascii="Cambria Math" w:hAnsi="Cambria Math"/>
          </w:rPr>
          <m:t>x</m:t>
        </m:r>
      </m:oMath>
      <w:r>
        <w:rPr>
          <w:rFonts w:hint="eastAsia"/>
        </w:rPr>
        <w:t>に、実際の将来の収益率を代入すれば、将来の収益率に対する％点が得られる。</w:t>
      </w:r>
    </w:p>
    <w:p w:rsidR="00541AF8" w:rsidRDefault="00541AF8" w:rsidP="00697AF2"/>
    <w:p w:rsidR="00541AF8" w:rsidRDefault="00541AF8" w:rsidP="00541AF8">
      <w:pPr>
        <w:pStyle w:val="2"/>
      </w:pPr>
      <w:r>
        <w:rPr>
          <w:rFonts w:hint="eastAsia"/>
        </w:rPr>
        <w:t>評価指標</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hint="eastAsia"/>
        </w:rPr>
        <w:t>（算出</w:t>
      </w:r>
      <w:proofErr w:type="spellStart"/>
      <w:r>
        <w:t>VaR</w:t>
      </w:r>
      <w:proofErr w:type="spellEnd"/>
      <w:r>
        <w:rPr>
          <w:rFonts w:hint="eastAsia"/>
        </w:rPr>
        <w:t>の大きさ）</w:t>
      </w:r>
    </w:p>
    <w:p w:rsidR="00541AF8" w:rsidRDefault="00541AF8" w:rsidP="00541AF8">
      <w:pPr>
        <w:rPr>
          <w:highlight w:val="yellow"/>
        </w:rPr>
      </w:pPr>
      <w:r w:rsidRPr="00541AF8">
        <w:rPr>
          <w:rFonts w:hint="eastAsia"/>
          <w:highlight w:val="yellow"/>
        </w:rPr>
        <w:t>ヒストリカル法の場合</w:t>
      </w:r>
    </w:p>
    <w:p w:rsidR="00541AF8" w:rsidRDefault="00541AF8" w:rsidP="00541AF8">
      <w:r>
        <w:rPr>
          <w:rFonts w:hint="eastAsia"/>
        </w:rPr>
        <w:t>ヒストリカル法の場合、</w:t>
      </w:r>
      <m:oMath>
        <m:r>
          <w:rPr>
            <w:rFonts w:ascii="Cambria Math" w:hAnsi="Cambria Math"/>
          </w:rPr>
          <m:t>τ</m:t>
        </m:r>
      </m:oMath>
      <w:r>
        <w:rPr>
          <w:rFonts w:hint="eastAsia"/>
        </w:rPr>
        <w:t>日における</w:t>
      </w:r>
      <w:proofErr w:type="spellStart"/>
      <w:r>
        <w:t>VaR</w:t>
      </w:r>
      <w:proofErr w:type="spellEnd"/>
      <w:r>
        <w:rPr>
          <w:rFonts w:hint="eastAsia"/>
        </w:rPr>
        <w:t>は前節で述べた各モデルの</w:t>
      </w:r>
      <w:r>
        <w:t>99%</w:t>
      </w:r>
      <w:r>
        <w:rPr>
          <w:rFonts w:hint="eastAsia"/>
        </w:rPr>
        <w:t>を代表する値の絶対値で得られる。この値を</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τ</m:t>
            </m:r>
          </m:sub>
        </m:sSub>
      </m:oMath>
      <w:r>
        <w:rPr>
          <w:rFonts w:hint="eastAsia"/>
        </w:rPr>
        <w:t>とし、すべての分析期間につい</w:t>
      </w:r>
      <w:proofErr w:type="gramStart"/>
      <w:r>
        <w:rPr>
          <w:rFonts w:hint="eastAsia"/>
        </w:rPr>
        <w:t>て</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τ</m:t>
            </m:r>
          </m:sub>
        </m:sSub>
      </m:oMath>
      <w:r>
        <w:rPr>
          <w:rFonts w:hint="eastAsia"/>
        </w:rPr>
        <w:t>を算</w:t>
      </w:r>
      <w:proofErr w:type="gramEnd"/>
      <w:r>
        <w:rPr>
          <w:rFonts w:hint="eastAsia"/>
        </w:rPr>
        <w:t>出、得られたデータ集合</w:t>
      </w:r>
      <w:proofErr w:type="gramStart"/>
      <w:r>
        <w:rPr>
          <w:rFonts w:hint="eastAsia"/>
        </w:rPr>
        <w:t>を</w:t>
      </w:r>
      <w:proofErr w:type="gramEnd"/>
      <w:r>
        <w:rPr>
          <w:rFonts w:hint="eastAsia"/>
        </w:rPr>
        <w:t>用いて</w:t>
      </w:r>
      <m:oMath>
        <m:sSub>
          <m:sSubPr>
            <m:ctrlPr>
              <w:rPr>
                <w:rFonts w:ascii="Cambria Math" w:hAnsi="Cambria Math"/>
                <w:i/>
              </w:rPr>
            </m:ctrlPr>
          </m:sSubPr>
          <m:e>
            <m:r>
              <w:rPr>
                <w:rFonts w:ascii="Cambria Math" w:hAnsi="Cambria Math"/>
              </w:rPr>
              <m:t>z</m:t>
            </m:r>
          </m:e>
          <m:sub>
            <m:r>
              <w:rPr>
                <w:rFonts w:ascii="Cambria Math" w:hAnsi="Cambria Math"/>
              </w:rPr>
              <m:t>3</m:t>
            </m:r>
          </m:sub>
        </m:sSub>
      </m:oMath>
      <w:proofErr w:type="gramStart"/>
      <w:r>
        <w:rPr>
          <w:rFonts w:hint="eastAsia"/>
        </w:rPr>
        <w:t>を</w:t>
      </w:r>
      <w:proofErr w:type="gramEnd"/>
      <w:r>
        <w:rPr>
          <w:rFonts w:hint="eastAsia"/>
        </w:rPr>
        <w:t>算出する。</w:t>
      </w:r>
    </w:p>
    <w:p w:rsidR="00541AF8" w:rsidRDefault="00541AF8" w:rsidP="00541AF8">
      <w:pPr>
        <w:rPr>
          <w:highlight w:val="yellow"/>
        </w:rPr>
      </w:pPr>
      <w:r w:rsidRPr="00541AF8">
        <w:rPr>
          <w:rFonts w:hint="eastAsia"/>
          <w:highlight w:val="yellow"/>
        </w:rPr>
        <w:lastRenderedPageBreak/>
        <w:t>デルタ法の場合</w:t>
      </w:r>
    </w:p>
    <w:p w:rsidR="00541AF8" w:rsidRDefault="00541AF8" w:rsidP="00541AF8">
      <w:r>
        <w:rPr>
          <w:rFonts w:hint="eastAsia"/>
        </w:rPr>
        <w:t>デルタ法の場合、</w:t>
      </w:r>
      <m:oMath>
        <m:r>
          <w:rPr>
            <w:rFonts w:ascii="Cambria Math" w:hAnsi="Cambria Math"/>
          </w:rPr>
          <m:t>τ</m:t>
        </m:r>
      </m:oMath>
      <w:r>
        <w:rPr>
          <w:rFonts w:hint="eastAsia"/>
        </w:rPr>
        <w:t>日における</w:t>
      </w:r>
      <w:proofErr w:type="spellStart"/>
      <w:r>
        <w:t>VaR</w:t>
      </w:r>
      <w:proofErr w:type="spellEnd"/>
      <w:r>
        <w:rPr>
          <w:rFonts w:hint="eastAsia"/>
        </w:rPr>
        <w:t>は推定された標準偏差</w:t>
      </w:r>
      <m:oMath>
        <m:sSub>
          <m:sSubPr>
            <m:ctrlPr>
              <w:rPr>
                <w:rFonts w:ascii="Cambria Math" w:hAnsi="Cambria Math"/>
                <w:i/>
              </w:rPr>
            </m:ctrlPr>
          </m:sSubPr>
          <m:e>
            <m:r>
              <w:rPr>
                <w:rFonts w:ascii="Cambria Math" w:hAnsi="Cambria Math"/>
              </w:rPr>
              <m:t>σ</m:t>
            </m:r>
          </m:e>
          <m:sub>
            <m:r>
              <w:rPr>
                <w:rFonts w:ascii="Cambria Math" w:hAnsi="Cambria Math"/>
              </w:rPr>
              <m:t>τ</m:t>
            </m:r>
          </m:sub>
        </m:sSub>
      </m:oMath>
      <w:r>
        <w:rPr>
          <w:rFonts w:hint="eastAsia"/>
        </w:rPr>
        <w:t>を用いると、</w:t>
      </w:r>
      <m:oMath>
        <m:r>
          <w:rPr>
            <w:rFonts w:ascii="Cambria Math" w:hAnsi="Cambria Math"/>
          </w:rPr>
          <m:t>2.33</m:t>
        </m:r>
        <m:sSub>
          <m:sSubPr>
            <m:ctrlPr>
              <w:rPr>
                <w:rFonts w:ascii="Cambria Math" w:hAnsi="Cambria Math"/>
                <w:i/>
              </w:rPr>
            </m:ctrlPr>
          </m:sSubPr>
          <m:e>
            <m:r>
              <w:rPr>
                <w:rFonts w:ascii="Cambria Math" w:hAnsi="Cambria Math"/>
              </w:rPr>
              <m:t>σ</m:t>
            </m:r>
          </m:e>
          <m:sub>
            <m:r>
              <w:rPr>
                <w:rFonts w:ascii="Cambria Math" w:hAnsi="Cambria Math"/>
              </w:rPr>
              <m:t>τ</m:t>
            </m:r>
          </m:sub>
        </m:sSub>
      </m:oMath>
      <w:r>
        <w:rPr>
          <w:rFonts w:hint="eastAsia"/>
        </w:rPr>
        <w:t>で計算される量である。この値を</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τ</m:t>
            </m:r>
          </m:sub>
        </m:sSub>
      </m:oMath>
      <w:r>
        <w:rPr>
          <w:rFonts w:hint="eastAsia"/>
        </w:rPr>
        <w:t>とし、</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hint="eastAsia"/>
        </w:rPr>
        <w:t>を算出する。</w:t>
      </w:r>
    </w:p>
    <w:p w:rsidR="00541AF8" w:rsidRDefault="00541AF8" w:rsidP="00541AF8"/>
    <w:p w:rsidR="00B2124B" w:rsidRDefault="00B2124B" w:rsidP="00B2124B">
      <w:pPr>
        <w:pStyle w:val="1"/>
      </w:pPr>
      <w:r>
        <w:rPr>
          <w:rFonts w:hint="eastAsia"/>
        </w:rPr>
        <w:t>バックテストの結果とモデルの優劣</w:t>
      </w:r>
    </w:p>
    <w:p w:rsidR="00B2124B" w:rsidRDefault="00B2124B" w:rsidP="00B2124B">
      <w:pPr>
        <w:pStyle w:val="2"/>
      </w:pPr>
      <w:r>
        <w:rPr>
          <w:rFonts w:hint="eastAsia"/>
        </w:rPr>
        <w:t>保有期間を1日とした場合のモデルの優劣</w:t>
      </w:r>
    </w:p>
    <w:p w:rsidR="00B2124B" w:rsidRDefault="00B2124B" w:rsidP="00B2124B">
      <w:r w:rsidRPr="00B2124B">
        <w:drawing>
          <wp:inline distT="0" distB="0" distL="0" distR="0" wp14:anchorId="50F81A1E" wp14:editId="29984E69">
            <wp:extent cx="4267200" cy="66675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6667500"/>
                    </a:xfrm>
                    <a:prstGeom prst="rect">
                      <a:avLst/>
                    </a:prstGeom>
                  </pic:spPr>
                </pic:pic>
              </a:graphicData>
            </a:graphic>
          </wp:inline>
        </w:drawing>
      </w:r>
    </w:p>
    <w:p w:rsidR="005A5AA7" w:rsidRDefault="005A5AA7" w:rsidP="005A5AA7">
      <w:pPr>
        <w:rPr>
          <w:rFonts w:hint="eastAsia"/>
        </w:rPr>
      </w:pPr>
      <w:r w:rsidRPr="005A5AA7">
        <w:rPr>
          <w:rFonts w:hint="eastAsia"/>
          <w:highlight w:val="yellow"/>
        </w:rPr>
        <w:t>超過回数について</w:t>
      </w:r>
    </w:p>
    <w:p w:rsidR="00B2124B" w:rsidRPr="005A5AA7" w:rsidRDefault="00B2124B" w:rsidP="00B2124B">
      <w:pPr>
        <w:pStyle w:val="a3"/>
        <w:numPr>
          <w:ilvl w:val="0"/>
          <w:numId w:val="23"/>
        </w:numPr>
        <w:ind w:leftChars="0"/>
      </w:pPr>
      <w:r>
        <w:rPr>
          <w:rFonts w:hint="eastAsia"/>
        </w:rPr>
        <w:lastRenderedPageBreak/>
        <w:t>表</w:t>
      </w:r>
      <w:r>
        <w:t>6.2</w:t>
      </w:r>
      <w:r>
        <w:rPr>
          <w:rFonts w:hint="eastAsia"/>
        </w:rPr>
        <w:t>よりすべてのモデルについて</w:t>
      </w:r>
      <w:r w:rsidR="005A5AA7">
        <w:rPr>
          <w:rFonts w:hint="eastAsia"/>
        </w:rPr>
        <w:t>以下の帰無仮説は棄却されなかった。</w:t>
      </w:r>
      <w:r w:rsidR="005A5AA7">
        <w:br/>
      </w:r>
      <m:oMathPara>
        <m:oMath>
          <m:r>
            <m:rPr>
              <m:sty m:val="p"/>
            </m:rPr>
            <w:rPr>
              <w:rFonts w:ascii="Cambria Math" w:hAnsi="Cambria Math" w:hint="eastAsia"/>
            </w:rPr>
            <m:t>帰無仮説</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hint="eastAsia"/>
            </w:rPr>
            <m:t>確率変数</m:t>
          </m:r>
          <m:sSub>
            <m:sSubPr>
              <m:ctrlPr>
                <w:rPr>
                  <w:rFonts w:ascii="Cambria Math" w:hAnsi="Cambria Math"/>
                  <w:i/>
                </w:rPr>
              </m:ctrlPr>
            </m:sSubPr>
            <m:e>
              <m:r>
                <w:rPr>
                  <w:rFonts w:ascii="Cambria Math" w:hAnsi="Cambria Math"/>
                </w:rPr>
                <m:t>z</m:t>
              </m:r>
            </m:e>
            <m:sub>
              <m:r>
                <w:rPr>
                  <w:rFonts w:ascii="Cambria Math" w:hAnsi="Cambria Math"/>
                </w:rPr>
                <m:t>1</m:t>
              </m:r>
            </m:sub>
          </m:sSub>
          <m:r>
            <m:rPr>
              <m:sty m:val="p"/>
            </m:rPr>
            <w:rPr>
              <w:rFonts w:ascii="Cambria Math" w:hAnsi="Cambria Math" w:hint="eastAsia"/>
            </w:rPr>
            <m:t>は</m:t>
          </m:r>
          <m:r>
            <w:rPr>
              <w:rFonts w:ascii="Cambria Math" w:hAnsi="Cambria Math"/>
            </w:rPr>
            <m:t>B</m:t>
          </m:r>
          <m:d>
            <m:dPr>
              <m:ctrlPr>
                <w:rPr>
                  <w:rFonts w:ascii="Cambria Math" w:hAnsi="Cambria Math"/>
                  <w:i/>
                </w:rPr>
              </m:ctrlPr>
            </m:dPr>
            <m:e>
              <m:r>
                <w:rPr>
                  <w:rFonts w:ascii="Cambria Math" w:hAnsi="Cambria Math"/>
                </w:rPr>
                <m:t>N,0.01</m:t>
              </m:r>
            </m:e>
          </m:d>
          <m:r>
            <m:rPr>
              <m:sty m:val="p"/>
            </m:rPr>
            <w:rPr>
              <w:rFonts w:ascii="Cambria Math" w:hAnsi="Cambria Math" w:hint="eastAsia"/>
            </w:rPr>
            <m:t>に従う</m:t>
          </m:r>
        </m:oMath>
      </m:oMathPara>
    </w:p>
    <w:p w:rsidR="005A5AA7" w:rsidRDefault="005A5AA7" w:rsidP="00B2124B">
      <w:pPr>
        <w:pStyle w:val="a3"/>
        <w:numPr>
          <w:ilvl w:val="0"/>
          <w:numId w:val="23"/>
        </w:numPr>
        <w:ind w:leftChars="0"/>
      </w:pPr>
      <w:r>
        <w:rPr>
          <w:rFonts w:hint="eastAsia"/>
        </w:rPr>
        <w:t>単一資産と比べて複数資産の場合は、中心極限定理により収益率が正規分布に収束したためだと考えられる。</w:t>
      </w:r>
    </w:p>
    <w:p w:rsidR="005A5AA7" w:rsidRDefault="005A5AA7" w:rsidP="00B2124B">
      <w:pPr>
        <w:pStyle w:val="a3"/>
        <w:numPr>
          <w:ilvl w:val="0"/>
          <w:numId w:val="23"/>
        </w:numPr>
        <w:ind w:leftChars="0"/>
      </w:pPr>
      <w:r>
        <w:rPr>
          <w:rFonts w:hint="eastAsia"/>
        </w:rPr>
        <w:t>観測期間</w:t>
      </w:r>
      <w:r>
        <w:t>250</w:t>
      </w:r>
      <w:r>
        <w:rPr>
          <w:rFonts w:hint="eastAsia"/>
        </w:rPr>
        <w:t>日のモデルの超過回数が最も多かった。</w:t>
      </w:r>
    </w:p>
    <w:p w:rsidR="005A5AA7" w:rsidRDefault="005A5AA7" w:rsidP="005A5AA7"/>
    <w:p w:rsidR="005A5AA7" w:rsidRDefault="005A5AA7" w:rsidP="005A5AA7">
      <w:pPr>
        <w:rPr>
          <w:highlight w:val="yellow"/>
        </w:rPr>
      </w:pPr>
      <w:r w:rsidRPr="005A5AA7">
        <w:rPr>
          <w:rFonts w:hint="eastAsia"/>
          <w:highlight w:val="yellow"/>
        </w:rPr>
        <w:t>収益率の分布形状について</w:t>
      </w:r>
    </w:p>
    <w:p w:rsidR="005A5AA7" w:rsidRDefault="005A5AA7" w:rsidP="005A5AA7">
      <w:pPr>
        <w:pStyle w:val="a3"/>
        <w:numPr>
          <w:ilvl w:val="0"/>
          <w:numId w:val="25"/>
        </w:numPr>
        <w:ind w:leftChars="0"/>
      </w:pPr>
      <w:r>
        <w:rPr>
          <w:rFonts w:hint="eastAsia"/>
        </w:rPr>
        <w:t>表</w:t>
      </w:r>
      <w:r>
        <w:t>6.3</w:t>
      </w:r>
      <w:r>
        <w:rPr>
          <w:rFonts w:hint="eastAsia"/>
        </w:rPr>
        <w:t>より、最も分布の再現性が高いのは、観測期間が250日でヒストリカル法を用いるモデルとなった。</w:t>
      </w:r>
    </w:p>
    <w:p w:rsidR="005A5AA7" w:rsidRDefault="005A5AA7" w:rsidP="005A5AA7">
      <w:pPr>
        <w:pStyle w:val="a3"/>
        <w:numPr>
          <w:ilvl w:val="0"/>
          <w:numId w:val="25"/>
        </w:numPr>
        <w:ind w:leftChars="0"/>
      </w:pPr>
      <w:r>
        <w:rPr>
          <w:rFonts w:hint="eastAsia"/>
        </w:rPr>
        <w:t>全般的にデルタ法よりヒストリカル法の方が、分布の再現性に優れている。</w:t>
      </w:r>
    </w:p>
    <w:p w:rsidR="005A5AA7" w:rsidRDefault="005A5AA7" w:rsidP="005A5AA7">
      <w:pPr>
        <w:pStyle w:val="a3"/>
        <w:numPr>
          <w:ilvl w:val="0"/>
          <w:numId w:val="25"/>
        </w:numPr>
        <w:ind w:leftChars="0"/>
      </w:pPr>
      <w:r>
        <w:rPr>
          <w:rFonts w:hint="eastAsia"/>
        </w:rPr>
        <w:t>この結果は複数資産の場合においても収益率に正規分布の仮定を置くことに問題点があることを示している。</w:t>
      </w:r>
    </w:p>
    <w:p w:rsidR="005A5AA7" w:rsidRDefault="005A5AA7" w:rsidP="005A5AA7">
      <w:pPr>
        <w:rPr>
          <w:highlight w:val="yellow"/>
        </w:rPr>
      </w:pPr>
      <w:r w:rsidRPr="005A5AA7">
        <w:rPr>
          <w:rFonts w:hint="eastAsia"/>
          <w:highlight w:val="yellow"/>
        </w:rPr>
        <w:t>算出</w:t>
      </w:r>
      <w:proofErr w:type="spellStart"/>
      <w:r w:rsidRPr="005A5AA7">
        <w:rPr>
          <w:highlight w:val="yellow"/>
        </w:rPr>
        <w:t>VaR</w:t>
      </w:r>
      <w:proofErr w:type="spellEnd"/>
      <w:r w:rsidRPr="005A5AA7">
        <w:rPr>
          <w:rFonts w:hint="eastAsia"/>
          <w:highlight w:val="yellow"/>
        </w:rPr>
        <w:t>の大きさについて</w:t>
      </w:r>
    </w:p>
    <w:p w:rsidR="005A5AA7" w:rsidRDefault="005A5AA7" w:rsidP="005A5AA7">
      <w:pPr>
        <w:pStyle w:val="a3"/>
        <w:numPr>
          <w:ilvl w:val="0"/>
          <w:numId w:val="26"/>
        </w:numPr>
        <w:ind w:leftChars="0"/>
      </w:pPr>
      <w:r>
        <w:rPr>
          <w:rFonts w:hint="eastAsia"/>
        </w:rPr>
        <w:t>表</w:t>
      </w:r>
      <w:r>
        <w:t>6.4</w:t>
      </w:r>
      <w:r>
        <w:rPr>
          <w:rFonts w:hint="eastAsia"/>
        </w:rPr>
        <w:t>で与える</w:t>
      </w:r>
    </w:p>
    <w:p w:rsidR="005A5AA7" w:rsidRDefault="005A5AA7" w:rsidP="005A5AA7"/>
    <w:p w:rsidR="005A5AA7" w:rsidRDefault="005A5AA7" w:rsidP="005A5AA7">
      <w:pPr>
        <w:pStyle w:val="2"/>
      </w:pPr>
      <w:r>
        <w:rPr>
          <w:rFonts w:hint="eastAsia"/>
        </w:rPr>
        <w:t>保有期間の処理法を含めた結果</w:t>
      </w:r>
    </w:p>
    <w:p w:rsidR="001C5841" w:rsidRDefault="001C5841" w:rsidP="001C5841">
      <w:r>
        <w:rPr>
          <w:rFonts w:hint="eastAsia"/>
        </w:rPr>
        <w:t>超過回数について</w:t>
      </w:r>
    </w:p>
    <w:p w:rsidR="001C5841" w:rsidRDefault="001C5841" w:rsidP="001C5841">
      <w:pPr>
        <w:pStyle w:val="a3"/>
        <w:numPr>
          <w:ilvl w:val="0"/>
          <w:numId w:val="26"/>
        </w:numPr>
        <w:ind w:leftChars="0"/>
      </w:pPr>
      <w:r>
        <w:rPr>
          <w:rFonts w:hint="eastAsia"/>
        </w:rPr>
        <w:t>表6.</w:t>
      </w:r>
      <w:r>
        <w:t>4</w:t>
      </w:r>
      <w:r>
        <w:rPr>
          <w:rFonts w:hint="eastAsia"/>
        </w:rPr>
        <w:t>より、観測期間</w:t>
      </w:r>
      <w:r>
        <w:t>250</w:t>
      </w:r>
      <w:r>
        <w:rPr>
          <w:rFonts w:hint="eastAsia"/>
        </w:rPr>
        <w:t>日で</w:t>
      </w:r>
      <w:r>
        <w:t>Box-Car</w:t>
      </w:r>
      <w:r>
        <w:rPr>
          <w:rFonts w:hint="eastAsia"/>
        </w:rPr>
        <w:t>法を用いるモデル、および観測期間が250日でルート</w:t>
      </w:r>
      <w:proofErr w:type="gramStart"/>
      <w:r>
        <w:rPr>
          <w:rFonts w:hint="eastAsia"/>
        </w:rPr>
        <w:t>t</w:t>
      </w:r>
      <w:proofErr w:type="gramEnd"/>
      <w:r>
        <w:rPr>
          <w:rFonts w:hint="eastAsia"/>
        </w:rPr>
        <w:t>倍法＋デルタ法を用いるモデルでは、帰無仮説は棄却された</w:t>
      </w:r>
    </w:p>
    <w:p w:rsidR="001C5841" w:rsidRPr="001C5841" w:rsidRDefault="001C5841" w:rsidP="001C5841">
      <w:pPr>
        <w:pStyle w:val="a3"/>
        <w:numPr>
          <w:ilvl w:val="0"/>
          <w:numId w:val="26"/>
        </w:numPr>
        <w:ind w:leftChars="0"/>
        <w:rPr>
          <w:rFonts w:hint="eastAsia"/>
        </w:rPr>
      </w:pPr>
      <w:r>
        <w:rPr>
          <w:rFonts w:hint="eastAsia"/>
        </w:rPr>
        <w:t>単一資産の検証実験と同様、観測期間が長くなれば、超過回数が少なくなる傾向が見られた。</w:t>
      </w:r>
    </w:p>
    <w:p w:rsidR="005A5AA7" w:rsidRDefault="005A5AA7" w:rsidP="005A5AA7">
      <w:r w:rsidRPr="005A5AA7">
        <w:lastRenderedPageBreak/>
        <w:drawing>
          <wp:inline distT="0" distB="0" distL="0" distR="0" wp14:anchorId="364113F5" wp14:editId="247A5B83">
            <wp:extent cx="4762500" cy="44704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4470400"/>
                    </a:xfrm>
                    <a:prstGeom prst="rect">
                      <a:avLst/>
                    </a:prstGeom>
                  </pic:spPr>
                </pic:pic>
              </a:graphicData>
            </a:graphic>
          </wp:inline>
        </w:drawing>
      </w:r>
    </w:p>
    <w:p w:rsidR="001C5841" w:rsidRDefault="001C5841" w:rsidP="005A5AA7"/>
    <w:p w:rsidR="001C5841" w:rsidRDefault="001C5841" w:rsidP="005A5AA7">
      <w:r>
        <w:rPr>
          <w:rFonts w:hint="eastAsia"/>
        </w:rPr>
        <w:t>収益率の分布形状について</w:t>
      </w:r>
    </w:p>
    <w:p w:rsidR="001C5841" w:rsidRDefault="001C5841" w:rsidP="001C5841">
      <w:pPr>
        <w:pStyle w:val="a3"/>
        <w:numPr>
          <w:ilvl w:val="0"/>
          <w:numId w:val="27"/>
        </w:numPr>
        <w:ind w:leftChars="0"/>
      </w:pPr>
      <w:r>
        <w:rPr>
          <w:rFonts w:hint="eastAsia"/>
        </w:rPr>
        <w:t>図6.5より、収益分布の再現性が最も優れているのは、観測期間250日、</w:t>
      </w:r>
      <w:r>
        <w:t>Moving-Window</w:t>
      </w:r>
      <w:r>
        <w:rPr>
          <w:rFonts w:hint="eastAsia"/>
        </w:rPr>
        <w:t>法＋ヒストリカル法の組み合わせとなった。（単一資産の検証実験においても安定していた）</w:t>
      </w:r>
    </w:p>
    <w:p w:rsidR="001C5841" w:rsidRDefault="001C5841" w:rsidP="001C5841">
      <w:pPr>
        <w:pStyle w:val="a3"/>
        <w:numPr>
          <w:ilvl w:val="0"/>
          <w:numId w:val="27"/>
        </w:numPr>
        <w:ind w:leftChars="0"/>
      </w:pPr>
      <w:r>
        <w:rPr>
          <w:rFonts w:hint="eastAsia"/>
        </w:rPr>
        <w:t>ヒストリカル法＋ルート</w:t>
      </w:r>
      <w:proofErr w:type="gramStart"/>
      <w:r>
        <w:rPr>
          <w:rFonts w:hint="eastAsia"/>
        </w:rPr>
        <w:t>t</w:t>
      </w:r>
      <w:proofErr w:type="gramEnd"/>
      <w:r>
        <w:rPr>
          <w:rFonts w:hint="eastAsia"/>
        </w:rPr>
        <w:t>倍法の組み合わせモデルは、分布形状の再現性に問題があることが判明した。</w:t>
      </w:r>
    </w:p>
    <w:p w:rsidR="00F32E10" w:rsidRDefault="00F32E10" w:rsidP="00F32E10">
      <w:pPr>
        <w:pStyle w:val="a3"/>
        <w:numPr>
          <w:ilvl w:val="0"/>
          <w:numId w:val="27"/>
        </w:numPr>
        <w:ind w:leftChars="0"/>
      </w:pPr>
      <w:r>
        <w:rPr>
          <w:rFonts w:hint="eastAsia"/>
        </w:rPr>
        <w:t>分析手法にデルタ法を適用するモデルでは、観測データの取り扱い（</w:t>
      </w:r>
      <w:r>
        <w:t>Box-Car</w:t>
      </w:r>
      <w:r>
        <w:rPr>
          <w:rFonts w:hint="eastAsia"/>
        </w:rPr>
        <w:t>法、</w:t>
      </w:r>
      <w:r>
        <w:t>Moving-Window</w:t>
      </w:r>
      <w:r>
        <w:rPr>
          <w:rFonts w:hint="eastAsia"/>
        </w:rPr>
        <w:t>法、ルート</w:t>
      </w:r>
      <w:proofErr w:type="gramStart"/>
      <w:r>
        <w:rPr>
          <w:rFonts w:hint="eastAsia"/>
        </w:rPr>
        <w:t>t</w:t>
      </w:r>
      <w:proofErr w:type="gramEnd"/>
      <w:r>
        <w:rPr>
          <w:rFonts w:hint="eastAsia"/>
        </w:rPr>
        <w:t>倍法）の違いによる影響はほとんど変化がない。</w:t>
      </w:r>
    </w:p>
    <w:p w:rsidR="00F32E10" w:rsidRDefault="00F32E10" w:rsidP="00F32E10">
      <w:pPr>
        <w:pStyle w:val="a3"/>
        <w:numPr>
          <w:ilvl w:val="0"/>
          <w:numId w:val="27"/>
        </w:numPr>
        <w:ind w:leftChars="0"/>
      </w:pPr>
      <w:r>
        <w:rPr>
          <w:rFonts w:hint="eastAsia"/>
        </w:rPr>
        <w:t>BIS規制を前提としたバックテストでは、パラメトリックなデルタ方よりも、ノンパラメトリックのヒストリカル法の方がリスク管理モデルとして優れていると考えられる。</w:t>
      </w:r>
    </w:p>
    <w:p w:rsidR="00595017" w:rsidRDefault="00595017" w:rsidP="00595017"/>
    <w:p w:rsidR="005A5AA7" w:rsidRDefault="005A5AA7" w:rsidP="005A5AA7">
      <w:r w:rsidRPr="005A5AA7">
        <w:lastRenderedPageBreak/>
        <w:drawing>
          <wp:inline distT="0" distB="0" distL="0" distR="0" wp14:anchorId="00D2C8F8" wp14:editId="5DC208E2">
            <wp:extent cx="4800600" cy="44196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4419600"/>
                    </a:xfrm>
                    <a:prstGeom prst="rect">
                      <a:avLst/>
                    </a:prstGeom>
                  </pic:spPr>
                </pic:pic>
              </a:graphicData>
            </a:graphic>
          </wp:inline>
        </w:drawing>
      </w:r>
    </w:p>
    <w:p w:rsidR="005A5AA7" w:rsidRDefault="005A5AA7" w:rsidP="005A5AA7">
      <w:r w:rsidRPr="005A5AA7">
        <w:drawing>
          <wp:inline distT="0" distB="0" distL="0" distR="0" wp14:anchorId="34F9ACFB" wp14:editId="3AE5B548">
            <wp:extent cx="4762500" cy="44323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4432300"/>
                    </a:xfrm>
                    <a:prstGeom prst="rect">
                      <a:avLst/>
                    </a:prstGeom>
                  </pic:spPr>
                </pic:pic>
              </a:graphicData>
            </a:graphic>
          </wp:inline>
        </w:drawing>
      </w:r>
    </w:p>
    <w:p w:rsidR="00595017" w:rsidRDefault="00595017" w:rsidP="005A5AA7"/>
    <w:p w:rsidR="00595017" w:rsidRDefault="00595017" w:rsidP="00595017">
      <w:pPr>
        <w:pStyle w:val="2"/>
        <w:rPr>
          <w:rFonts w:hint="eastAsia"/>
        </w:rPr>
      </w:pPr>
      <w:r>
        <w:rPr>
          <w:rFonts w:hint="eastAsia"/>
        </w:rPr>
        <w:lastRenderedPageBreak/>
        <w:t>モデル評価の</w:t>
      </w:r>
      <w:r>
        <w:rPr>
          <w:rFonts w:hint="eastAsia"/>
        </w:rPr>
        <w:t>まとめ</w:t>
      </w:r>
    </w:p>
    <w:p w:rsidR="00595017" w:rsidRDefault="00595017" w:rsidP="00595017">
      <w:pPr>
        <w:pStyle w:val="a3"/>
        <w:numPr>
          <w:ilvl w:val="0"/>
          <w:numId w:val="28"/>
        </w:numPr>
        <w:ind w:leftChars="0"/>
      </w:pPr>
      <w:r>
        <w:rPr>
          <w:rFonts w:hint="eastAsia"/>
        </w:rPr>
        <w:t>観測期間250日、</w:t>
      </w:r>
      <w:r>
        <w:t>Moving-Window</w:t>
      </w:r>
      <w:r>
        <w:rPr>
          <w:rFonts w:hint="eastAsia"/>
        </w:rPr>
        <w:t>法＋ヒストリカル法の組み合わせのモデルが、超過回数、分布形状の検証でともに優れている。</w:t>
      </w:r>
    </w:p>
    <w:p w:rsidR="00595017" w:rsidRDefault="00595017" w:rsidP="00595017">
      <w:pPr>
        <w:pStyle w:val="a3"/>
        <w:numPr>
          <w:ilvl w:val="0"/>
          <w:numId w:val="28"/>
        </w:numPr>
        <w:ind w:leftChars="0"/>
      </w:pPr>
      <w:r>
        <w:rPr>
          <w:rFonts w:hint="eastAsia"/>
        </w:rPr>
        <w:t>多くの銀行では、BIS規制内部モデルにデルタ法を利用している。しかし、本検証実験の結果から、ノンパラメトリックなヒストリカル法の方が、性能的に優れていることが実証された。</w:t>
      </w:r>
    </w:p>
    <w:p w:rsidR="00595017" w:rsidRDefault="00595017" w:rsidP="00595017">
      <w:r>
        <w:rPr>
          <w:rFonts w:hint="eastAsia"/>
        </w:rPr>
        <w:t>この結果は所有するポートフォリオや検証期間などの条件の違いによって変化することが考えられるが、他のシミュレーション結果を参照しても、同様の結果が示唆されている。</w:t>
      </w:r>
    </w:p>
    <w:p w:rsidR="00595017" w:rsidRDefault="00595017" w:rsidP="00595017"/>
    <w:p w:rsidR="00595017" w:rsidRDefault="00595017" w:rsidP="00595017">
      <w:r>
        <w:rPr>
          <w:rFonts w:hint="eastAsia"/>
        </w:rPr>
        <w:t>ウエイティングの影響やモンテカルロ法の効果など、検証結果は萩山・山下（1</w:t>
      </w:r>
      <w:r>
        <w:t>998</w:t>
      </w:r>
      <w:r>
        <w:rPr>
          <w:rFonts w:hint="eastAsia"/>
        </w:rPr>
        <w:t>）などを参照していただきたい。以下その結果を簡潔にまとめたものである。</w:t>
      </w:r>
    </w:p>
    <w:p w:rsidR="00595017" w:rsidRDefault="00595017" w:rsidP="00595017">
      <w:pPr>
        <w:pStyle w:val="a3"/>
        <w:numPr>
          <w:ilvl w:val="0"/>
          <w:numId w:val="29"/>
        </w:numPr>
        <w:ind w:leftChars="0"/>
      </w:pPr>
      <w:r>
        <w:rPr>
          <w:rFonts w:hint="eastAsia"/>
        </w:rPr>
        <w:t>基本予測モデル</w:t>
      </w:r>
    </w:p>
    <w:p w:rsidR="00595017" w:rsidRDefault="00595017" w:rsidP="00595017">
      <w:pPr>
        <w:pStyle w:val="a3"/>
        <w:numPr>
          <w:ilvl w:val="2"/>
          <w:numId w:val="29"/>
        </w:numPr>
        <w:ind w:leftChars="0"/>
      </w:pPr>
      <w:r>
        <w:rPr>
          <w:rFonts w:hint="eastAsia"/>
        </w:rPr>
        <w:t>単一資産においては、デルタ法よりヒストリカル法が優れている。</w:t>
      </w:r>
    </w:p>
    <w:p w:rsidR="00595017" w:rsidRDefault="00595017" w:rsidP="00595017">
      <w:pPr>
        <w:pStyle w:val="a3"/>
        <w:numPr>
          <w:ilvl w:val="2"/>
          <w:numId w:val="29"/>
        </w:numPr>
        <w:ind w:leftChars="0"/>
      </w:pPr>
      <w:r>
        <w:rPr>
          <w:rFonts w:hint="eastAsia"/>
        </w:rPr>
        <w:t>時系列ARモデルを用いた疑似実験による検証でも、ヒストリカル法の優位性は変わらなかった。</w:t>
      </w:r>
    </w:p>
    <w:p w:rsidR="00595017" w:rsidRDefault="00595017" w:rsidP="00595017">
      <w:pPr>
        <w:pStyle w:val="a3"/>
        <w:numPr>
          <w:ilvl w:val="1"/>
          <w:numId w:val="29"/>
        </w:numPr>
        <w:ind w:leftChars="0"/>
      </w:pPr>
      <w:r>
        <w:rPr>
          <w:rFonts w:hint="eastAsia"/>
        </w:rPr>
        <w:t>10日間のボラティリティを予測する場合について</w:t>
      </w:r>
    </w:p>
    <w:p w:rsidR="00595017" w:rsidRDefault="00595017" w:rsidP="00595017">
      <w:pPr>
        <w:pStyle w:val="a3"/>
        <w:numPr>
          <w:ilvl w:val="2"/>
          <w:numId w:val="29"/>
        </w:numPr>
        <w:ind w:leftChars="0"/>
      </w:pPr>
      <w:r>
        <w:rPr>
          <w:rFonts w:hint="eastAsia"/>
        </w:rPr>
        <w:t>ヒストリカル法＋ルート</w:t>
      </w:r>
      <w:proofErr w:type="gramStart"/>
      <w:r>
        <w:rPr>
          <w:rFonts w:hint="eastAsia"/>
        </w:rPr>
        <w:t>t</w:t>
      </w:r>
      <w:proofErr w:type="gramEnd"/>
      <w:r>
        <w:rPr>
          <w:rFonts w:hint="eastAsia"/>
        </w:rPr>
        <w:t>倍</w:t>
      </w:r>
      <w:r w:rsidR="009039F3">
        <w:rPr>
          <w:rFonts w:hint="eastAsia"/>
        </w:rPr>
        <w:t>法</w:t>
      </w:r>
      <w:r>
        <w:rPr>
          <w:rFonts w:hint="eastAsia"/>
        </w:rPr>
        <w:t>を用いる場合は、問題が生じる。</w:t>
      </w:r>
    </w:p>
    <w:p w:rsidR="00595017" w:rsidRDefault="00595017" w:rsidP="00595017">
      <w:pPr>
        <w:pStyle w:val="a3"/>
        <w:numPr>
          <w:ilvl w:val="2"/>
          <w:numId w:val="29"/>
        </w:numPr>
        <w:ind w:leftChars="0"/>
      </w:pPr>
      <w:r>
        <w:t>Box-Car</w:t>
      </w:r>
      <w:r>
        <w:rPr>
          <w:rFonts w:hint="eastAsia"/>
        </w:rPr>
        <w:t>法を用いるとデータ数の少なさから問題が生じる</w:t>
      </w:r>
    </w:p>
    <w:p w:rsidR="00595017" w:rsidRDefault="00595017" w:rsidP="00595017">
      <w:pPr>
        <w:pStyle w:val="a3"/>
        <w:numPr>
          <w:ilvl w:val="1"/>
          <w:numId w:val="29"/>
        </w:numPr>
        <w:ind w:leftChars="0"/>
      </w:pPr>
      <w:r>
        <w:rPr>
          <w:rFonts w:hint="eastAsia"/>
        </w:rPr>
        <w:t>観測期間について</w:t>
      </w:r>
    </w:p>
    <w:p w:rsidR="009039F3" w:rsidRDefault="009039F3" w:rsidP="009039F3">
      <w:pPr>
        <w:pStyle w:val="a3"/>
        <w:numPr>
          <w:ilvl w:val="2"/>
          <w:numId w:val="29"/>
        </w:numPr>
        <w:ind w:leftChars="0"/>
      </w:pPr>
      <w:r>
        <w:rPr>
          <w:rFonts w:hint="eastAsia"/>
        </w:rPr>
        <w:t>対象とする資産によって最適と考えられる観測期間が違う</w:t>
      </w:r>
    </w:p>
    <w:p w:rsidR="009039F3" w:rsidRDefault="009039F3" w:rsidP="009039F3">
      <w:pPr>
        <w:pStyle w:val="a3"/>
        <w:numPr>
          <w:ilvl w:val="2"/>
          <w:numId w:val="29"/>
        </w:numPr>
        <w:ind w:leftChars="0"/>
      </w:pPr>
      <w:r>
        <w:rPr>
          <w:rFonts w:hint="eastAsia"/>
        </w:rPr>
        <w:t>多くの資産について観測期間が1年のモデルが優れている</w:t>
      </w:r>
    </w:p>
    <w:p w:rsidR="009039F3" w:rsidRDefault="009039F3" w:rsidP="009039F3">
      <w:pPr>
        <w:pStyle w:val="a3"/>
        <w:numPr>
          <w:ilvl w:val="1"/>
          <w:numId w:val="29"/>
        </w:numPr>
        <w:ind w:leftChars="0"/>
      </w:pPr>
      <w:r>
        <w:rPr>
          <w:rFonts w:hint="eastAsia"/>
        </w:rPr>
        <w:t>データへの重み付けについて</w:t>
      </w:r>
    </w:p>
    <w:p w:rsidR="009039F3" w:rsidRDefault="009039F3" w:rsidP="009039F3">
      <w:pPr>
        <w:pStyle w:val="a3"/>
        <w:numPr>
          <w:ilvl w:val="2"/>
          <w:numId w:val="29"/>
        </w:numPr>
        <w:ind w:leftChars="0"/>
        <w:rPr>
          <w:rFonts w:hint="eastAsia"/>
        </w:rPr>
      </w:pPr>
      <w:r>
        <w:rPr>
          <w:rFonts w:hint="eastAsia"/>
        </w:rPr>
        <w:t>観測データの重み付けは、収益率分布推定にほとんど影響を与えない。</w:t>
      </w:r>
    </w:p>
    <w:p w:rsidR="00595017" w:rsidRPr="00595017" w:rsidRDefault="00595017" w:rsidP="00595017">
      <w:pPr>
        <w:rPr>
          <w:rFonts w:hint="eastAsia"/>
        </w:rPr>
      </w:pPr>
    </w:p>
    <w:p w:rsidR="00595017" w:rsidRPr="005A5AA7" w:rsidRDefault="00595017" w:rsidP="005A5AA7">
      <w:pPr>
        <w:rPr>
          <w:rFonts w:hint="eastAsia"/>
        </w:rPr>
      </w:pPr>
    </w:p>
    <w:sectPr w:rsidR="00595017" w:rsidRPr="005A5AA7" w:rsidSect="009B0CA8">
      <w:pgSz w:w="11900" w:h="16840"/>
      <w:pgMar w:top="720" w:right="720" w:bottom="720" w:left="720"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EC2" w:rsidRDefault="00111EC2" w:rsidP="00021154">
      <w:pPr>
        <w:spacing w:before="0" w:after="0"/>
      </w:pPr>
      <w:r>
        <w:separator/>
      </w:r>
    </w:p>
  </w:endnote>
  <w:endnote w:type="continuationSeparator" w:id="0">
    <w:p w:rsidR="00111EC2" w:rsidRDefault="00111EC2" w:rsidP="0002115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EC2" w:rsidRDefault="00111EC2" w:rsidP="00021154">
      <w:pPr>
        <w:spacing w:before="0" w:after="0"/>
      </w:pPr>
      <w:r>
        <w:separator/>
      </w:r>
    </w:p>
  </w:footnote>
  <w:footnote w:type="continuationSeparator" w:id="0">
    <w:p w:rsidR="00111EC2" w:rsidRDefault="00111EC2" w:rsidP="0002115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1A0"/>
    <w:multiLevelType w:val="hybridMultilevel"/>
    <w:tmpl w:val="F4CCCA6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29A7EAC"/>
    <w:multiLevelType w:val="hybridMultilevel"/>
    <w:tmpl w:val="CC4889FE"/>
    <w:lvl w:ilvl="0" w:tplc="0409000F">
      <w:start w:val="1"/>
      <w:numFmt w:val="decimal"/>
      <w:lvlText w:val="%1."/>
      <w:lvlJc w:val="left"/>
      <w:pPr>
        <w:ind w:left="420" w:hanging="420"/>
      </w:pPr>
    </w:lvl>
    <w:lvl w:ilvl="1" w:tplc="0409000F">
      <w:start w:val="1"/>
      <w:numFmt w:val="decimal"/>
      <w:lvlText w:val="%2."/>
      <w:lvlJc w:val="left"/>
      <w:pPr>
        <w:ind w:left="420" w:hanging="420"/>
      </w:pPr>
      <w:rPr>
        <w:rFonts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2770CA"/>
    <w:multiLevelType w:val="hybridMultilevel"/>
    <w:tmpl w:val="5A9CA972"/>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4B256CE"/>
    <w:multiLevelType w:val="hybridMultilevel"/>
    <w:tmpl w:val="E6A853C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4FA0CBC"/>
    <w:multiLevelType w:val="hybridMultilevel"/>
    <w:tmpl w:val="6A6400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70320C3"/>
    <w:multiLevelType w:val="hybridMultilevel"/>
    <w:tmpl w:val="06A42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B5A2FFE"/>
    <w:multiLevelType w:val="hybridMultilevel"/>
    <w:tmpl w:val="D64232F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4A36713"/>
    <w:multiLevelType w:val="hybridMultilevel"/>
    <w:tmpl w:val="97D2E79A"/>
    <w:lvl w:ilvl="0" w:tplc="0409000F">
      <w:start w:val="1"/>
      <w:numFmt w:val="decimal"/>
      <w:lvlText w:val="%1."/>
      <w:lvlJc w:val="left"/>
      <w:pPr>
        <w:ind w:left="420" w:hanging="420"/>
      </w:pPr>
    </w:lvl>
    <w:lvl w:ilvl="1" w:tplc="04090001">
      <w:start w:val="1"/>
      <w:numFmt w:val="bullet"/>
      <w:lvlText w:val=""/>
      <w:lvlJc w:val="left"/>
      <w:pPr>
        <w:ind w:left="420" w:hanging="420"/>
      </w:pPr>
      <w:rPr>
        <w:rFonts w:ascii="Wingdings" w:hAnsi="Wingdings" w:hint="default"/>
      </w:rPr>
    </w:lvl>
    <w:lvl w:ilvl="2" w:tplc="0409000B">
      <w:start w:val="1"/>
      <w:numFmt w:val="bullet"/>
      <w:lvlText w:val=""/>
      <w:lvlJc w:val="left"/>
      <w:pPr>
        <w:ind w:left="840" w:hanging="420"/>
      </w:pPr>
      <w:rPr>
        <w:rFonts w:ascii="Wingdings" w:hAnsi="Wingdings" w:hint="default"/>
      </w:rPr>
    </w:lvl>
    <w:lvl w:ilvl="3" w:tplc="0409000B">
      <w:start w:val="1"/>
      <w:numFmt w:val="bullet"/>
      <w:lvlText w:val=""/>
      <w:lvlJc w:val="left"/>
      <w:pPr>
        <w:ind w:left="840" w:hanging="420"/>
      </w:pPr>
      <w:rPr>
        <w:rFonts w:ascii="Wingdings" w:hAnsi="Wingdings" w:hint="default"/>
      </w:rPr>
    </w:lvl>
    <w:lvl w:ilvl="4" w:tplc="04090017">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3B4769C"/>
    <w:multiLevelType w:val="hybridMultilevel"/>
    <w:tmpl w:val="45483F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9BD67F4"/>
    <w:multiLevelType w:val="hybridMultilevel"/>
    <w:tmpl w:val="7C9AA2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B0C1D9C"/>
    <w:multiLevelType w:val="hybridMultilevel"/>
    <w:tmpl w:val="619059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E5C3A9E"/>
    <w:multiLevelType w:val="hybridMultilevel"/>
    <w:tmpl w:val="ECCABEE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08E7831"/>
    <w:multiLevelType w:val="hybridMultilevel"/>
    <w:tmpl w:val="7F26760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2A1112F"/>
    <w:multiLevelType w:val="hybridMultilevel"/>
    <w:tmpl w:val="EB9C563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42F2661"/>
    <w:multiLevelType w:val="hybridMultilevel"/>
    <w:tmpl w:val="34367A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8E27060"/>
    <w:multiLevelType w:val="hybridMultilevel"/>
    <w:tmpl w:val="D5FCD6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9982D48"/>
    <w:multiLevelType w:val="hybridMultilevel"/>
    <w:tmpl w:val="BD5E454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99F1BBB"/>
    <w:multiLevelType w:val="hybridMultilevel"/>
    <w:tmpl w:val="FA8452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A403798"/>
    <w:multiLevelType w:val="hybridMultilevel"/>
    <w:tmpl w:val="E2E611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30479C6"/>
    <w:multiLevelType w:val="hybridMultilevel"/>
    <w:tmpl w:val="02AA909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57081A5C"/>
    <w:multiLevelType w:val="hybridMultilevel"/>
    <w:tmpl w:val="04CC4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3DF2645"/>
    <w:multiLevelType w:val="hybridMultilevel"/>
    <w:tmpl w:val="A6881D4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8666912"/>
    <w:multiLevelType w:val="hybridMultilevel"/>
    <w:tmpl w:val="5C5A71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D0A5B56"/>
    <w:multiLevelType w:val="hybridMultilevel"/>
    <w:tmpl w:val="965A73F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6DC61343"/>
    <w:multiLevelType w:val="hybridMultilevel"/>
    <w:tmpl w:val="265E62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6E51723E"/>
    <w:multiLevelType w:val="hybridMultilevel"/>
    <w:tmpl w:val="56CC64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8EB182B"/>
    <w:multiLevelType w:val="hybridMultilevel"/>
    <w:tmpl w:val="B868EA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B757928"/>
    <w:multiLevelType w:val="hybridMultilevel"/>
    <w:tmpl w:val="A5342CD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CE70BD9"/>
    <w:multiLevelType w:val="hybridMultilevel"/>
    <w:tmpl w:val="721E45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6"/>
  </w:num>
  <w:num w:numId="2">
    <w:abstractNumId w:val="20"/>
  </w:num>
  <w:num w:numId="3">
    <w:abstractNumId w:val="11"/>
  </w:num>
  <w:num w:numId="4">
    <w:abstractNumId w:val="7"/>
  </w:num>
  <w:num w:numId="5">
    <w:abstractNumId w:val="4"/>
  </w:num>
  <w:num w:numId="6">
    <w:abstractNumId w:val="23"/>
  </w:num>
  <w:num w:numId="7">
    <w:abstractNumId w:val="13"/>
  </w:num>
  <w:num w:numId="8">
    <w:abstractNumId w:val="15"/>
  </w:num>
  <w:num w:numId="9">
    <w:abstractNumId w:val="3"/>
  </w:num>
  <w:num w:numId="10">
    <w:abstractNumId w:val="14"/>
  </w:num>
  <w:num w:numId="11">
    <w:abstractNumId w:val="0"/>
  </w:num>
  <w:num w:numId="12">
    <w:abstractNumId w:val="10"/>
  </w:num>
  <w:num w:numId="13">
    <w:abstractNumId w:val="17"/>
  </w:num>
  <w:num w:numId="14">
    <w:abstractNumId w:val="5"/>
  </w:num>
  <w:num w:numId="15">
    <w:abstractNumId w:val="2"/>
  </w:num>
  <w:num w:numId="16">
    <w:abstractNumId w:val="8"/>
  </w:num>
  <w:num w:numId="17">
    <w:abstractNumId w:val="12"/>
  </w:num>
  <w:num w:numId="18">
    <w:abstractNumId w:val="22"/>
  </w:num>
  <w:num w:numId="19">
    <w:abstractNumId w:val="27"/>
  </w:num>
  <w:num w:numId="20">
    <w:abstractNumId w:val="25"/>
  </w:num>
  <w:num w:numId="21">
    <w:abstractNumId w:val="9"/>
  </w:num>
  <w:num w:numId="22">
    <w:abstractNumId w:val="16"/>
  </w:num>
  <w:num w:numId="23">
    <w:abstractNumId w:val="19"/>
  </w:num>
  <w:num w:numId="24">
    <w:abstractNumId w:val="21"/>
  </w:num>
  <w:num w:numId="25">
    <w:abstractNumId w:val="28"/>
  </w:num>
  <w:num w:numId="26">
    <w:abstractNumId w:val="6"/>
  </w:num>
  <w:num w:numId="27">
    <w:abstractNumId w:val="24"/>
  </w:num>
  <w:num w:numId="28">
    <w:abstractNumId w:val="1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0FA"/>
    <w:rsid w:val="00012ECF"/>
    <w:rsid w:val="00021154"/>
    <w:rsid w:val="000260FA"/>
    <w:rsid w:val="000306B9"/>
    <w:rsid w:val="00034BD0"/>
    <w:rsid w:val="0008169B"/>
    <w:rsid w:val="000944FB"/>
    <w:rsid w:val="000B4EAC"/>
    <w:rsid w:val="00103A26"/>
    <w:rsid w:val="00111EC2"/>
    <w:rsid w:val="00114C37"/>
    <w:rsid w:val="00141D1D"/>
    <w:rsid w:val="00142BC4"/>
    <w:rsid w:val="0014505D"/>
    <w:rsid w:val="00191A7E"/>
    <w:rsid w:val="00196DC3"/>
    <w:rsid w:val="00197CDD"/>
    <w:rsid w:val="001B309C"/>
    <w:rsid w:val="001C5841"/>
    <w:rsid w:val="002036F5"/>
    <w:rsid w:val="00211764"/>
    <w:rsid w:val="002352A2"/>
    <w:rsid w:val="0025298C"/>
    <w:rsid w:val="00281FE6"/>
    <w:rsid w:val="0029553B"/>
    <w:rsid w:val="002B08F2"/>
    <w:rsid w:val="002B7596"/>
    <w:rsid w:val="002C733B"/>
    <w:rsid w:val="002D53F2"/>
    <w:rsid w:val="002E14DF"/>
    <w:rsid w:val="002F424B"/>
    <w:rsid w:val="0033383E"/>
    <w:rsid w:val="003561FD"/>
    <w:rsid w:val="00366089"/>
    <w:rsid w:val="0037167A"/>
    <w:rsid w:val="00372013"/>
    <w:rsid w:val="00373180"/>
    <w:rsid w:val="003F3B29"/>
    <w:rsid w:val="003F785D"/>
    <w:rsid w:val="0040149F"/>
    <w:rsid w:val="0040624E"/>
    <w:rsid w:val="00410E28"/>
    <w:rsid w:val="004319BB"/>
    <w:rsid w:val="004A3908"/>
    <w:rsid w:val="004F5AD6"/>
    <w:rsid w:val="004F5FFD"/>
    <w:rsid w:val="00505DBA"/>
    <w:rsid w:val="00507E47"/>
    <w:rsid w:val="0053262A"/>
    <w:rsid w:val="00533482"/>
    <w:rsid w:val="00541AF8"/>
    <w:rsid w:val="00550231"/>
    <w:rsid w:val="00560146"/>
    <w:rsid w:val="0056179E"/>
    <w:rsid w:val="00595017"/>
    <w:rsid w:val="005A5AA7"/>
    <w:rsid w:val="005B37EE"/>
    <w:rsid w:val="005C10A9"/>
    <w:rsid w:val="005E1284"/>
    <w:rsid w:val="005E50C7"/>
    <w:rsid w:val="005E6BEB"/>
    <w:rsid w:val="005F59A2"/>
    <w:rsid w:val="00603F7F"/>
    <w:rsid w:val="00666088"/>
    <w:rsid w:val="00672627"/>
    <w:rsid w:val="0067475D"/>
    <w:rsid w:val="00690B1A"/>
    <w:rsid w:val="00691AB4"/>
    <w:rsid w:val="006931C2"/>
    <w:rsid w:val="00697AF2"/>
    <w:rsid w:val="006E6FD1"/>
    <w:rsid w:val="006F1477"/>
    <w:rsid w:val="00762EB7"/>
    <w:rsid w:val="007836B6"/>
    <w:rsid w:val="00791096"/>
    <w:rsid w:val="007C0067"/>
    <w:rsid w:val="007C694C"/>
    <w:rsid w:val="007D2D48"/>
    <w:rsid w:val="007E6DD8"/>
    <w:rsid w:val="00801C50"/>
    <w:rsid w:val="00805BBF"/>
    <w:rsid w:val="00813F8F"/>
    <w:rsid w:val="0081454B"/>
    <w:rsid w:val="008160C7"/>
    <w:rsid w:val="00850F82"/>
    <w:rsid w:val="008A1821"/>
    <w:rsid w:val="008D27C6"/>
    <w:rsid w:val="009039F3"/>
    <w:rsid w:val="00933B7C"/>
    <w:rsid w:val="00943630"/>
    <w:rsid w:val="00963FF6"/>
    <w:rsid w:val="009B0CA8"/>
    <w:rsid w:val="009B12A4"/>
    <w:rsid w:val="00A11DD4"/>
    <w:rsid w:val="00A648E4"/>
    <w:rsid w:val="00AA02CF"/>
    <w:rsid w:val="00B2124B"/>
    <w:rsid w:val="00B3188C"/>
    <w:rsid w:val="00B36794"/>
    <w:rsid w:val="00B47D7F"/>
    <w:rsid w:val="00B51F0D"/>
    <w:rsid w:val="00B76341"/>
    <w:rsid w:val="00B81C52"/>
    <w:rsid w:val="00BC5386"/>
    <w:rsid w:val="00BD06E1"/>
    <w:rsid w:val="00BD436E"/>
    <w:rsid w:val="00BF10A6"/>
    <w:rsid w:val="00BF1567"/>
    <w:rsid w:val="00C246E7"/>
    <w:rsid w:val="00C30427"/>
    <w:rsid w:val="00C32860"/>
    <w:rsid w:val="00C66AB1"/>
    <w:rsid w:val="00CC6253"/>
    <w:rsid w:val="00CE3AB2"/>
    <w:rsid w:val="00D30039"/>
    <w:rsid w:val="00DE29D3"/>
    <w:rsid w:val="00E02881"/>
    <w:rsid w:val="00E31B71"/>
    <w:rsid w:val="00E5260F"/>
    <w:rsid w:val="00E637FA"/>
    <w:rsid w:val="00EE2A5C"/>
    <w:rsid w:val="00EF2FEC"/>
    <w:rsid w:val="00F12FDB"/>
    <w:rsid w:val="00F31666"/>
    <w:rsid w:val="00F32E10"/>
    <w:rsid w:val="00F54D9D"/>
    <w:rsid w:val="00F56F28"/>
    <w:rsid w:val="00F91DB4"/>
    <w:rsid w:val="00FD01FC"/>
    <w:rsid w:val="00FD26DA"/>
    <w:rsid w:val="00FE17F9"/>
    <w:rsid w:val="00FF03FD"/>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AE77C6"/>
  <w14:defaultImageDpi w14:val="32767"/>
  <w15:chartTrackingRefBased/>
  <w15:docId w15:val="{2596C234-C052-0348-A682-EA077AF90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uiPriority w:val="9"/>
    <w:qFormat/>
    <w:rsid w:val="00366089"/>
    <w:pPr>
      <w:keepNext/>
      <w:outlineLvl w:val="0"/>
    </w:pPr>
    <w:rPr>
      <w:rFonts w:asciiTheme="majorHAnsi" w:eastAsiaTheme="majorEastAsia" w:hAnsiTheme="majorHAnsi" w:cstheme="majorBidi"/>
    </w:rPr>
  </w:style>
  <w:style w:type="paragraph" w:styleId="2">
    <w:name w:val="heading 2"/>
    <w:basedOn w:val="a"/>
    <w:next w:val="a"/>
    <w:link w:val="20"/>
    <w:uiPriority w:val="9"/>
    <w:unhideWhenUsed/>
    <w:qFormat/>
    <w:rsid w:val="00366089"/>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E31B71"/>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66089"/>
    <w:rPr>
      <w:rFonts w:asciiTheme="majorHAnsi" w:eastAsiaTheme="majorEastAsia" w:hAnsiTheme="majorHAnsi" w:cstheme="majorBidi"/>
    </w:rPr>
  </w:style>
  <w:style w:type="character" w:customStyle="1" w:styleId="20">
    <w:name w:val="見出し 2 (文字)"/>
    <w:basedOn w:val="a0"/>
    <w:link w:val="2"/>
    <w:uiPriority w:val="9"/>
    <w:rsid w:val="00366089"/>
    <w:rPr>
      <w:rFonts w:asciiTheme="majorHAnsi" w:eastAsiaTheme="majorEastAsia" w:hAnsiTheme="majorHAnsi" w:cstheme="majorBidi"/>
    </w:rPr>
  </w:style>
  <w:style w:type="paragraph" w:styleId="a3">
    <w:name w:val="List Paragraph"/>
    <w:basedOn w:val="a"/>
    <w:uiPriority w:val="34"/>
    <w:qFormat/>
    <w:rsid w:val="00366089"/>
    <w:pPr>
      <w:ind w:leftChars="400" w:left="960"/>
    </w:pPr>
  </w:style>
  <w:style w:type="character" w:styleId="a4">
    <w:name w:val="Placeholder Text"/>
    <w:basedOn w:val="a0"/>
    <w:uiPriority w:val="99"/>
    <w:semiHidden/>
    <w:rsid w:val="00366089"/>
    <w:rPr>
      <w:color w:val="808080"/>
    </w:rPr>
  </w:style>
  <w:style w:type="character" w:customStyle="1" w:styleId="30">
    <w:name w:val="見出し 3 (文字)"/>
    <w:basedOn w:val="a0"/>
    <w:link w:val="3"/>
    <w:uiPriority w:val="9"/>
    <w:rsid w:val="00E31B71"/>
    <w:rPr>
      <w:rFonts w:asciiTheme="majorHAnsi" w:eastAsiaTheme="majorEastAsia" w:hAnsiTheme="majorHAnsi" w:cstheme="majorBidi"/>
    </w:rPr>
  </w:style>
  <w:style w:type="table" w:styleId="a5">
    <w:name w:val="Table Grid"/>
    <w:basedOn w:val="a1"/>
    <w:uiPriority w:val="39"/>
    <w:rsid w:val="00CC6253"/>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note text"/>
    <w:basedOn w:val="a"/>
    <w:link w:val="a7"/>
    <w:uiPriority w:val="99"/>
    <w:semiHidden/>
    <w:unhideWhenUsed/>
    <w:rsid w:val="00021154"/>
    <w:pPr>
      <w:snapToGrid w:val="0"/>
    </w:pPr>
  </w:style>
  <w:style w:type="character" w:customStyle="1" w:styleId="a7">
    <w:name w:val="脚注文字列 (文字)"/>
    <w:basedOn w:val="a0"/>
    <w:link w:val="a6"/>
    <w:uiPriority w:val="99"/>
    <w:semiHidden/>
    <w:rsid w:val="00021154"/>
  </w:style>
  <w:style w:type="character" w:styleId="a8">
    <w:name w:val="footnote reference"/>
    <w:basedOn w:val="a0"/>
    <w:uiPriority w:val="99"/>
    <w:semiHidden/>
    <w:unhideWhenUsed/>
    <w:rsid w:val="000211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5468E-109D-934B-ACB7-5CC3D022B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8</Pages>
  <Words>521</Words>
  <Characters>2973</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t.shunsuke.1117@outlook.jp</dc:creator>
  <cp:keywords/>
  <dc:description/>
  <cp:lastModifiedBy>t.shunsuke.1117@outlook.jp</cp:lastModifiedBy>
  <cp:revision>74</cp:revision>
  <dcterms:created xsi:type="dcterms:W3CDTF">2021-01-11T12:03:00Z</dcterms:created>
  <dcterms:modified xsi:type="dcterms:W3CDTF">2021-03-31T06:35:00Z</dcterms:modified>
</cp:coreProperties>
</file>