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2FEC" w:rsidRDefault="00366089" w:rsidP="00E31B71">
      <w:pPr>
        <w:pStyle w:val="2"/>
      </w:pPr>
      <w:r>
        <w:rPr>
          <w:rFonts w:hint="eastAsia"/>
        </w:rPr>
        <w:t>分布の正規性とその</w:t>
      </w:r>
      <w:r w:rsidR="002B7596">
        <w:rPr>
          <w:rFonts w:hint="eastAsia"/>
        </w:rPr>
        <w:t>検証</w:t>
      </w:r>
    </w:p>
    <w:p w:rsidR="00366089" w:rsidRDefault="00366089" w:rsidP="004F5AD6">
      <w:pPr>
        <w:pStyle w:val="3"/>
        <w:ind w:leftChars="0" w:left="0"/>
      </w:pPr>
      <w:r>
        <w:rPr>
          <w:rFonts w:hint="eastAsia"/>
        </w:rPr>
        <w:t>正規性の影響</w:t>
      </w:r>
    </w:p>
    <w:p w:rsidR="00366089" w:rsidRDefault="00366089" w:rsidP="00366089">
      <w:r>
        <w:rPr>
          <w:rFonts w:hint="eastAsia"/>
        </w:rPr>
        <w:t>市場の変動が正規分布に従うことを仮定</w:t>
      </w:r>
      <w:r w:rsidR="00505DBA">
        <w:rPr>
          <w:rFonts w:hint="eastAsia"/>
        </w:rPr>
        <w:t>する</w:t>
      </w:r>
      <w:r>
        <w:rPr>
          <w:rFonts w:hint="eastAsia"/>
        </w:rPr>
        <w:t>意味として以下のことが挙げられる。</w:t>
      </w:r>
    </w:p>
    <w:p w:rsidR="00366089" w:rsidRDefault="00366089" w:rsidP="00366089">
      <w:pPr>
        <w:pStyle w:val="a3"/>
        <w:numPr>
          <w:ilvl w:val="0"/>
          <w:numId w:val="2"/>
        </w:numPr>
        <w:ind w:leftChars="0"/>
      </w:pPr>
      <w:r>
        <w:rPr>
          <w:rFonts w:hint="eastAsia"/>
        </w:rPr>
        <w:t>信頼係数</w:t>
      </w:r>
      <m:oMath>
        <m:r>
          <w:rPr>
            <w:rFonts w:ascii="Cambria Math" w:hAnsi="Cambria Math"/>
          </w:rPr>
          <m:t>θ</m:t>
        </m:r>
      </m:oMath>
      <w:r>
        <w:rPr>
          <w:rFonts w:hint="eastAsia"/>
        </w:rPr>
        <w:t>を求めるとき</w:t>
      </w:r>
    </w:p>
    <w:p w:rsidR="00366089" w:rsidRDefault="00366089" w:rsidP="00366089">
      <w:pPr>
        <w:pStyle w:val="a3"/>
        <w:numPr>
          <w:ilvl w:val="0"/>
          <w:numId w:val="2"/>
        </w:numPr>
        <w:ind w:leftChars="0"/>
      </w:pPr>
      <w:r>
        <w:rPr>
          <w:rFonts w:hint="eastAsia"/>
        </w:rPr>
        <w:t>デルタ法を用いてリスクを合成するとき</w:t>
      </w:r>
    </w:p>
    <w:p w:rsidR="00366089" w:rsidRDefault="00366089" w:rsidP="00366089">
      <w:pPr>
        <w:pStyle w:val="a3"/>
        <w:numPr>
          <w:ilvl w:val="0"/>
          <w:numId w:val="2"/>
        </w:numPr>
        <w:ind w:leftChars="0"/>
      </w:pPr>
      <w:r>
        <w:rPr>
          <w:rFonts w:hint="eastAsia"/>
        </w:rPr>
        <w:t>シミュレーション用の時系列モデルのパラメータを計算するとき</w:t>
      </w:r>
    </w:p>
    <w:p w:rsidR="00366089" w:rsidRDefault="00366089" w:rsidP="00366089">
      <w:pPr>
        <w:rPr>
          <w:rFonts w:hint="eastAsia"/>
        </w:rPr>
      </w:pPr>
      <w:r>
        <w:rPr>
          <w:rFonts w:hint="eastAsia"/>
        </w:rPr>
        <w:t>しかし、</w:t>
      </w:r>
      <w:r w:rsidR="00505DBA">
        <w:rPr>
          <w:rFonts w:hint="eastAsia"/>
        </w:rPr>
        <w:t>過去の研究を見ると、</w:t>
      </w:r>
      <w:r w:rsidR="00505DBA">
        <w:rPr>
          <w:rFonts w:hint="eastAsia"/>
        </w:rPr>
        <w:t>市場の変動が正規分布に従うこと</w:t>
      </w:r>
      <w:r w:rsidR="00505DBA">
        <w:rPr>
          <w:rFonts w:hint="eastAsia"/>
        </w:rPr>
        <w:t>は否定されることが多い。</w:t>
      </w:r>
    </w:p>
    <w:p w:rsidR="00FF03FD" w:rsidRDefault="00BF1567" w:rsidP="00366089">
      <w:r>
        <w:rPr>
          <w:rFonts w:hint="eastAsia"/>
        </w:rPr>
        <w:t>市場変動の正規性についての考察</w:t>
      </w:r>
    </w:p>
    <w:p w:rsidR="00FF03FD" w:rsidRDefault="00FF03FD" w:rsidP="00FF03FD">
      <w:pPr>
        <w:pStyle w:val="a3"/>
        <w:numPr>
          <w:ilvl w:val="0"/>
          <w:numId w:val="3"/>
        </w:numPr>
        <w:ind w:leftChars="0"/>
      </w:pPr>
      <w:r>
        <w:rPr>
          <w:rFonts w:hint="eastAsia"/>
        </w:rPr>
        <w:t>収益率の分布は、正規分布より裾広がりの分布をしている</w:t>
      </w:r>
    </w:p>
    <w:p w:rsidR="00FF03FD" w:rsidRDefault="00FF03FD" w:rsidP="00FF03FD">
      <w:pPr>
        <w:pStyle w:val="a3"/>
        <w:numPr>
          <w:ilvl w:val="0"/>
          <w:numId w:val="3"/>
        </w:numPr>
        <w:ind w:leftChars="0"/>
      </w:pPr>
      <w:r>
        <w:rPr>
          <w:rFonts w:hint="eastAsia"/>
        </w:rPr>
        <w:t>収益率の分布の平均値周辺の山の高さは、正規分布より高い</w:t>
      </w:r>
    </w:p>
    <w:p w:rsidR="00FF03FD" w:rsidRDefault="00FF03FD" w:rsidP="00FF03FD">
      <w:pPr>
        <w:pStyle w:val="a3"/>
        <w:numPr>
          <w:ilvl w:val="0"/>
          <w:numId w:val="3"/>
        </w:numPr>
        <w:ind w:leftChars="0"/>
      </w:pPr>
      <w:r>
        <w:rPr>
          <w:rFonts w:hint="eastAsia"/>
        </w:rPr>
        <w:t>収益率の分布は負の方向に歪んでいることが多い</w:t>
      </w:r>
    </w:p>
    <w:p w:rsidR="00FF03FD" w:rsidRDefault="00FF03FD" w:rsidP="00FF03FD">
      <w:pPr>
        <w:pStyle w:val="a3"/>
        <w:numPr>
          <w:ilvl w:val="0"/>
          <w:numId w:val="3"/>
        </w:numPr>
        <w:ind w:leftChars="0"/>
      </w:pPr>
      <w:r>
        <w:rPr>
          <w:rFonts w:hint="eastAsia"/>
        </w:rPr>
        <w:t>収益率は時系列的に小さい正の自己相関を持つ</w:t>
      </w:r>
    </w:p>
    <w:p w:rsidR="00BF1567" w:rsidRDefault="00197CDD" w:rsidP="00BF1567">
      <w:pPr>
        <w:pStyle w:val="a3"/>
        <w:numPr>
          <w:ilvl w:val="0"/>
          <w:numId w:val="3"/>
        </w:numPr>
        <w:ind w:leftChars="0"/>
        <w:rPr>
          <w:rFonts w:hint="eastAsia"/>
        </w:rPr>
      </w:pPr>
      <w:r>
        <w:rPr>
          <w:noProof/>
        </w:rPr>
        <mc:AlternateContent>
          <mc:Choice Requires="wps">
            <w:drawing>
              <wp:anchor distT="0" distB="0" distL="114300" distR="114300" simplePos="0" relativeHeight="251664384" behindDoc="0" locked="0" layoutInCell="1" allowOverlap="1">
                <wp:simplePos x="0" y="0"/>
                <wp:positionH relativeFrom="column">
                  <wp:posOffset>2429754</wp:posOffset>
                </wp:positionH>
                <wp:positionV relativeFrom="paragraph">
                  <wp:posOffset>313543</wp:posOffset>
                </wp:positionV>
                <wp:extent cx="45719" cy="2489982"/>
                <wp:effectExtent l="0" t="0" r="18415" b="12065"/>
                <wp:wrapNone/>
                <wp:docPr id="9" name="正方形/長方形 9"/>
                <wp:cNvGraphicFramePr/>
                <a:graphic xmlns:a="http://schemas.openxmlformats.org/drawingml/2006/main">
                  <a:graphicData uri="http://schemas.microsoft.com/office/word/2010/wordprocessingShape">
                    <wps:wsp>
                      <wps:cNvSpPr/>
                      <wps:spPr>
                        <a:xfrm>
                          <a:off x="0" y="0"/>
                          <a:ext cx="45719" cy="2489982"/>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7A1708" id="正方形/長方形 9" o:spid="_x0000_s1026" style="position:absolute;left:0;text-align:left;margin-left:191.3pt;margin-top:24.7pt;width:3.6pt;height:196.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" fillcolor="red" strokecolor="#1f3763 [1604]" strokeweight="1pt"/>
            </w:pict>
          </mc:Fallback>
        </mc:AlternateContent>
      </w:r>
      <w:r w:rsidR="00FF03FD">
        <w:rPr>
          <w:rFonts w:hint="eastAsia"/>
        </w:rPr>
        <w:t>収益率の2乗は時系列的に正の自己相関を持つ</w:t>
      </w:r>
    </w:p>
    <w:p w:rsidR="00BF1567" w:rsidRDefault="00C66AB1" w:rsidP="00BF1567">
      <w:r>
        <w:rPr>
          <w:noProof/>
        </w:rPr>
        <mc:AlternateContent>
          <mc:Choice Requires="wps">
            <w:drawing>
              <wp:anchor distT="0" distB="0" distL="114300" distR="114300" simplePos="0" relativeHeight="251665408" behindDoc="0" locked="0" layoutInCell="1" allowOverlap="1">
                <wp:simplePos x="0" y="0"/>
                <wp:positionH relativeFrom="column">
                  <wp:posOffset>3090594</wp:posOffset>
                </wp:positionH>
                <wp:positionV relativeFrom="paragraph">
                  <wp:posOffset>1308833</wp:posOffset>
                </wp:positionV>
                <wp:extent cx="2447778" cy="597877"/>
                <wp:effectExtent l="0" t="0" r="16510" b="12065"/>
                <wp:wrapNone/>
                <wp:docPr id="10" name="テキスト ボックス 10"/>
                <wp:cNvGraphicFramePr/>
                <a:graphic xmlns:a="http://schemas.openxmlformats.org/drawingml/2006/main">
                  <a:graphicData uri="http://schemas.microsoft.com/office/word/2010/wordprocessingShape">
                    <wps:wsp>
                      <wps:cNvSpPr txBox="1"/>
                      <wps:spPr>
                        <a:xfrm>
                          <a:off x="0" y="0"/>
                          <a:ext cx="2447778" cy="597877"/>
                        </a:xfrm>
                        <a:prstGeom prst="rect">
                          <a:avLst/>
                        </a:prstGeom>
                        <a:solidFill>
                          <a:schemeClr val="lt1"/>
                        </a:solidFill>
                        <a:ln w="6350">
                          <a:solidFill>
                            <a:prstClr val="black"/>
                          </a:solidFill>
                        </a:ln>
                      </wps:spPr>
                      <wps:txbx>
                        <w:txbxContent>
                          <w:p w:rsidR="00C66AB1" w:rsidRDefault="00C66AB1">
                            <w:r>
                              <w:rPr>
                                <w:rFonts w:hint="eastAsia"/>
                              </w:rPr>
                              <w:t>負の方向に歪んでいる。</w:t>
                            </w:r>
                            <w:r>
                              <w:br/>
                            </w:r>
                            <w:r>
                              <w:rPr>
                                <w:rFonts w:hint="eastAsia"/>
                              </w:rPr>
                              <w:t>(右に偏った分布となっている</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10" o:spid="_x0000_s1026" type="#_x0000_t202" style="position:absolute;margin-left:243.35pt;margin-top:103.05pt;width:192.75pt;height:47.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" fillcolor="white [3201]" strokeweight=".5pt">
                <v:textbox>
                  <w:txbxContent>
                    <w:p w:rsidR="00C66AB1" w:rsidRDefault="00C66AB1">
                      <w:r>
                        <w:rPr>
                          <w:rFonts w:hint="eastAsia"/>
                        </w:rPr>
                        <w:t>負の方向に歪んでいる。</w:t>
                      </w:r>
                      <w:r>
                        <w:br/>
                      </w:r>
                      <w:r>
                        <w:rPr>
                          <w:rFonts w:hint="eastAsia"/>
                        </w:rPr>
                        <w:t>(右に偏った分布となっている</w:t>
                      </w:r>
                      <w:r>
                        <w:t>)</w:t>
                      </w:r>
                    </w:p>
                  </w:txbxContent>
                </v:textbox>
              </v:shape>
            </w:pict>
          </mc:Fallback>
        </mc:AlternateContent>
      </w:r>
      <w:r w:rsidR="006F1477">
        <w:rPr>
          <w:noProof/>
        </w:rPr>
        <mc:AlternateContent>
          <mc:Choice Requires="wps">
            <w:drawing>
              <wp:anchor distT="0" distB="0" distL="114300" distR="114300" simplePos="0" relativeHeight="251659264" behindDoc="0" locked="0" layoutInCell="1" allowOverlap="1">
                <wp:simplePos x="0" y="0"/>
                <wp:positionH relativeFrom="column">
                  <wp:posOffset>2605600</wp:posOffset>
                </wp:positionH>
                <wp:positionV relativeFrom="paragraph">
                  <wp:posOffset>388180</wp:posOffset>
                </wp:positionV>
                <wp:extent cx="914400" cy="337625"/>
                <wp:effectExtent l="0" t="0" r="13335" b="18415"/>
                <wp:wrapNone/>
                <wp:docPr id="5" name="テキスト ボックス 5"/>
                <wp:cNvGraphicFramePr/>
                <a:graphic xmlns:a="http://schemas.openxmlformats.org/drawingml/2006/main">
                  <a:graphicData uri="http://schemas.microsoft.com/office/word/2010/wordprocessingShape">
                    <wps:wsp>
                      <wps:cNvSpPr txBox="1"/>
                      <wps:spPr>
                        <a:xfrm>
                          <a:off x="0" y="0"/>
                          <a:ext cx="914400" cy="337625"/>
                        </a:xfrm>
                        <a:prstGeom prst="rect">
                          <a:avLst/>
                        </a:prstGeom>
                        <a:solidFill>
                          <a:schemeClr val="lt1"/>
                        </a:solidFill>
                        <a:ln w="6350">
                          <a:solidFill>
                            <a:prstClr val="black"/>
                          </a:solidFill>
                        </a:ln>
                      </wps:spPr>
                      <wps:txbx>
                        <w:txbxContent>
                          <w:p w:rsidR="006F1477" w:rsidRDefault="006F1477">
                            <w:r>
                              <w:rPr>
                                <w:rFonts w:hint="eastAsia"/>
                              </w:rPr>
                              <w:t>尖度が大きい（分布の先端が尖っている）</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5" o:spid="_x0000_s1027" type="#_x0000_t202" style="position:absolute;margin-left:205.15pt;margin-top:30.55pt;width:1in;height:26.6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" fillcolor="white [3201]" strokeweight=".5pt">
                <v:textbox>
                  <w:txbxContent>
                    <w:p w:rsidR="006F1477" w:rsidRDefault="006F1477">
                      <w:r>
                        <w:rPr>
                          <w:rFonts w:hint="eastAsia"/>
                        </w:rPr>
                        <w:t>尖度が大きい（分布の先端が尖っている）</w:t>
                      </w:r>
                    </w:p>
                  </w:txbxContent>
                </v:textbox>
              </v:shape>
            </w:pict>
          </mc:Fallback>
        </mc:AlternateContent>
      </w:r>
      <w:r w:rsidR="00BF1567" w:rsidRPr="00BF1567">
        <w:rPr>
          <w:noProof/>
        </w:rPr>
        <w:drawing>
          <wp:inline distT="0" distB="0" distL="0" distR="0" wp14:anchorId="5BE68DF1" wp14:editId="51C15D18">
            <wp:extent cx="4851400" cy="32639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51400" cy="3263900"/>
                    </a:xfrm>
                    <a:prstGeom prst="rect">
                      <a:avLst/>
                    </a:prstGeom>
                  </pic:spPr>
                </pic:pic>
              </a:graphicData>
            </a:graphic>
          </wp:inline>
        </w:drawing>
      </w:r>
    </w:p>
    <w:p w:rsidR="00BF1567" w:rsidRDefault="0056179E" w:rsidP="00BF1567">
      <w:r>
        <w:rPr>
          <w:noProof/>
        </w:rPr>
        <w:lastRenderedPageBreak/>
        <mc:AlternateContent>
          <mc:Choice Requires="wps">
            <w:drawing>
              <wp:anchor distT="0" distB="0" distL="114300" distR="114300" simplePos="0" relativeHeight="251663360" behindDoc="0" locked="0" layoutInCell="1" allowOverlap="1" wp14:anchorId="1A6FA323" wp14:editId="47D23B8C">
                <wp:simplePos x="0" y="0"/>
                <wp:positionH relativeFrom="column">
                  <wp:posOffset>985520</wp:posOffset>
                </wp:positionH>
                <wp:positionV relativeFrom="paragraph">
                  <wp:posOffset>462280</wp:posOffset>
                </wp:positionV>
                <wp:extent cx="914400" cy="323557"/>
                <wp:effectExtent l="0" t="0" r="13335" b="6985"/>
                <wp:wrapNone/>
                <wp:docPr id="7" name="テキスト ボックス 7"/>
                <wp:cNvGraphicFramePr/>
                <a:graphic xmlns:a="http://schemas.openxmlformats.org/drawingml/2006/main">
                  <a:graphicData uri="http://schemas.microsoft.com/office/word/2010/wordprocessingShape">
                    <wps:wsp>
                      <wps:cNvSpPr txBox="1"/>
                      <wps:spPr>
                        <a:xfrm>
                          <a:off x="0" y="0"/>
                          <a:ext cx="914400" cy="323557"/>
                        </a:xfrm>
                        <a:prstGeom prst="rect">
                          <a:avLst/>
                        </a:prstGeom>
                        <a:solidFill>
                          <a:schemeClr val="lt1"/>
                        </a:solidFill>
                        <a:ln w="6350">
                          <a:solidFill>
                            <a:prstClr val="black"/>
                          </a:solidFill>
                        </a:ln>
                      </wps:spPr>
                      <wps:txbx>
                        <w:txbxContent>
                          <w:p w:rsidR="006F1477" w:rsidRDefault="006F1477" w:rsidP="006F1477">
                            <w:pPr>
                              <w:rPr>
                                <w:rFonts w:hint="eastAsia"/>
                              </w:rPr>
                            </w:pPr>
                            <w:r>
                              <w:rPr>
                                <w:rFonts w:hint="eastAsia"/>
                              </w:rPr>
                              <w:t>分布の裾部分が厚くなっている</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6FA323" id="テキスト ボックス 7" o:spid="_x0000_s1028" type="#_x0000_t202" style="position:absolute;margin-left:77.6pt;margin-top:36.4pt;width:1in;height:25.5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" fillcolor="white [3201]" strokeweight=".5pt">
                <v:textbox>
                  <w:txbxContent>
                    <w:p w:rsidR="006F1477" w:rsidRDefault="006F1477" w:rsidP="006F1477">
                      <w:pPr>
                        <w:rPr>
                          <w:rFonts w:hint="eastAsia"/>
                        </w:rPr>
                      </w:pPr>
                      <w:r>
                        <w:rPr>
                          <w:rFonts w:hint="eastAsia"/>
                        </w:rPr>
                        <w:t>分布の裾部分が厚くなっている</w:t>
                      </w:r>
                    </w:p>
                  </w:txbxContent>
                </v:textbox>
              </v:shape>
            </w:pict>
          </mc:Fallback>
        </mc:AlternateContent>
      </w:r>
      <w:r w:rsidR="00BF1567" w:rsidRPr="00BF1567">
        <w:rPr>
          <w:noProof/>
        </w:rPr>
        <w:drawing>
          <wp:inline distT="0" distB="0" distL="0" distR="0" wp14:anchorId="11361CEF" wp14:editId="0B21B882">
            <wp:extent cx="4533900" cy="30988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33900" cy="3098800"/>
                    </a:xfrm>
                    <a:prstGeom prst="rect">
                      <a:avLst/>
                    </a:prstGeom>
                  </pic:spPr>
                </pic:pic>
              </a:graphicData>
            </a:graphic>
          </wp:inline>
        </w:drawing>
      </w:r>
    </w:p>
    <w:p w:rsidR="00EF2FEC" w:rsidRDefault="00EF2FEC" w:rsidP="00BF1567"/>
    <w:p w:rsidR="00EF2FEC" w:rsidRDefault="00EF2FEC" w:rsidP="00EF2FEC">
      <w:pPr>
        <w:pStyle w:val="2"/>
      </w:pPr>
      <w:r>
        <w:rPr>
          <w:rFonts w:hint="eastAsia"/>
        </w:rPr>
        <w:t>非正規性への対策</w:t>
      </w:r>
    </w:p>
    <w:p w:rsidR="004F5AD6" w:rsidRDefault="004F5AD6" w:rsidP="00EF2FEC">
      <w:proofErr w:type="spellStart"/>
      <w:r>
        <w:t>VaR</w:t>
      </w:r>
      <w:proofErr w:type="spellEnd"/>
      <w:r>
        <w:rPr>
          <w:rFonts w:hint="eastAsia"/>
        </w:rPr>
        <w:t>は複数の資産クラスから合成された、トータルの資産価格分布を対象に計算される。そのため、中心極限定理により、</w:t>
      </w:r>
      <w:r w:rsidR="00691AB4">
        <w:rPr>
          <w:rFonts w:hint="eastAsia"/>
        </w:rPr>
        <w:t>ポートフォリオに含まれるリスクファクター間が独立であると仮定した場合、</w:t>
      </w:r>
      <w:r>
        <w:rPr>
          <w:rFonts w:hint="eastAsia"/>
        </w:rPr>
        <w:t>個々の</w:t>
      </w:r>
      <w:r w:rsidR="00691AB4">
        <w:rPr>
          <w:rFonts w:hint="eastAsia"/>
        </w:rPr>
        <w:t>リスクファクター</w:t>
      </w:r>
      <w:r>
        <w:rPr>
          <w:rFonts w:hint="eastAsia"/>
        </w:rPr>
        <w:t>がどんな分布で</w:t>
      </w:r>
      <w:r w:rsidR="00691AB4">
        <w:rPr>
          <w:rFonts w:hint="eastAsia"/>
        </w:rPr>
        <w:t>あっても、</w:t>
      </w:r>
      <w:r>
        <w:rPr>
          <w:rFonts w:hint="eastAsia"/>
        </w:rPr>
        <w:t>複数の</w:t>
      </w:r>
      <w:r w:rsidR="00691AB4">
        <w:rPr>
          <w:rFonts w:hint="eastAsia"/>
        </w:rPr>
        <w:t>リスクファクターの和</w:t>
      </w:r>
      <w:r>
        <w:rPr>
          <w:rFonts w:hint="eastAsia"/>
        </w:rPr>
        <w:t>で構成されるポートフォリオ収益率分布は</w:t>
      </w:r>
      <w:r w:rsidR="00691AB4">
        <w:rPr>
          <w:rFonts w:hint="eastAsia"/>
        </w:rPr>
        <w:t>正規分布に近づく。</w:t>
      </w:r>
    </w:p>
    <w:p w:rsidR="00211764" w:rsidRDefault="00211764" w:rsidP="00EF2FEC"/>
    <w:p w:rsidR="00211764" w:rsidRDefault="00211764" w:rsidP="00EF2FEC">
      <w:r>
        <w:rPr>
          <w:rFonts w:hint="eastAsia"/>
        </w:rPr>
        <w:t>非正規性を前提に分析する方法も考えられている。</w:t>
      </w:r>
    </w:p>
    <w:p w:rsidR="00211764" w:rsidRDefault="00211764" w:rsidP="00E637FA">
      <w:pPr>
        <w:pStyle w:val="a3"/>
        <w:numPr>
          <w:ilvl w:val="0"/>
          <w:numId w:val="5"/>
        </w:numPr>
        <w:ind w:leftChars="0"/>
        <w:rPr>
          <w:rFonts w:hint="eastAsia"/>
        </w:rPr>
      </w:pPr>
      <w:r>
        <w:rPr>
          <w:rFonts w:hint="eastAsia"/>
        </w:rPr>
        <w:t>収益率分布に</w:t>
      </w:r>
      <w:proofErr w:type="gramStart"/>
      <w:r>
        <w:t>t</w:t>
      </w:r>
      <w:proofErr w:type="gramEnd"/>
      <w:r>
        <w:rPr>
          <w:rFonts w:hint="eastAsia"/>
        </w:rPr>
        <w:t>分布を仮定した検証</w:t>
      </w:r>
    </w:p>
    <w:p w:rsidR="00211764" w:rsidRDefault="00211764" w:rsidP="00211764">
      <w:pPr>
        <w:pStyle w:val="a3"/>
        <w:numPr>
          <w:ilvl w:val="1"/>
          <w:numId w:val="5"/>
        </w:numPr>
        <w:ind w:leftChars="0"/>
      </w:pPr>
      <w:r>
        <w:rPr>
          <w:rFonts w:hint="eastAsia"/>
        </w:rPr>
        <w:t>個々の資産の収益率分布の推定であったため、複数の資産を考慮に入れる</w:t>
      </w:r>
      <w:proofErr w:type="spellStart"/>
      <w:r>
        <w:rPr>
          <w:rFonts w:hint="eastAsia"/>
        </w:rPr>
        <w:t>V</w:t>
      </w:r>
      <w:r>
        <w:t>aR</w:t>
      </w:r>
      <w:proofErr w:type="spellEnd"/>
      <w:r>
        <w:rPr>
          <w:rFonts w:hint="eastAsia"/>
        </w:rPr>
        <w:t>推定においてはあまり重要ではない</w:t>
      </w:r>
    </w:p>
    <w:p w:rsidR="00211764" w:rsidRDefault="00211764" w:rsidP="00211764">
      <w:pPr>
        <w:pStyle w:val="a3"/>
        <w:numPr>
          <w:ilvl w:val="0"/>
          <w:numId w:val="5"/>
        </w:numPr>
        <w:ind w:leftChars="0"/>
      </w:pPr>
      <w:r>
        <w:rPr>
          <w:rFonts w:hint="eastAsia"/>
        </w:rPr>
        <w:t>対数正規分布などの非正規性分布を仮定したリスク管理モデルが開発</w:t>
      </w:r>
    </w:p>
    <w:p w:rsidR="00211764" w:rsidRDefault="00211764" w:rsidP="00211764">
      <w:pPr>
        <w:pStyle w:val="a3"/>
        <w:numPr>
          <w:ilvl w:val="1"/>
          <w:numId w:val="5"/>
        </w:numPr>
        <w:ind w:leftChars="0"/>
      </w:pPr>
      <w:r>
        <w:rPr>
          <w:rFonts w:hint="eastAsia"/>
        </w:rPr>
        <w:t>何らかの分布型を仮定した場合、数学的記述が複雑になり分布の自由度が低下してしまう</w:t>
      </w:r>
    </w:p>
    <w:p w:rsidR="00211764" w:rsidRDefault="00211764" w:rsidP="00211764">
      <w:pPr>
        <w:pStyle w:val="a3"/>
        <w:numPr>
          <w:ilvl w:val="1"/>
          <w:numId w:val="5"/>
        </w:numPr>
        <w:ind w:leftChars="0"/>
      </w:pPr>
      <w:r>
        <w:rPr>
          <w:rFonts w:hint="eastAsia"/>
        </w:rPr>
        <w:lastRenderedPageBreak/>
        <w:t>分布型を仮定しないノンパラメトリックな方法</w:t>
      </w:r>
      <w:r>
        <w:t>(</w:t>
      </w:r>
      <w:r>
        <w:rPr>
          <w:rFonts w:hint="eastAsia"/>
        </w:rPr>
        <w:t>ヒストリカル法など</w:t>
      </w:r>
      <w:r>
        <w:t>)</w:t>
      </w:r>
      <w:r>
        <w:rPr>
          <w:rFonts w:hint="eastAsia"/>
        </w:rPr>
        <w:t>を取ることが、最近の一般的なアプローチである。</w:t>
      </w:r>
    </w:p>
    <w:p w:rsidR="00E637FA" w:rsidRPr="00211764" w:rsidRDefault="00E637FA" w:rsidP="00E637FA">
      <w:pPr>
        <w:rPr>
          <w:rFonts w:hint="eastAsia"/>
        </w:rPr>
      </w:pPr>
    </w:p>
    <w:p w:rsidR="00EF2FEC" w:rsidRDefault="00EF2FEC" w:rsidP="00EF2FEC">
      <w:pPr>
        <w:pStyle w:val="2"/>
      </w:pPr>
      <w:r>
        <w:rPr>
          <w:rFonts w:hint="eastAsia"/>
        </w:rPr>
        <w:t>収益の分布の正規性を検証する手法</w:t>
      </w:r>
    </w:p>
    <w:p w:rsidR="00EF2FEC" w:rsidRDefault="00EF2FEC" w:rsidP="00EF2FEC">
      <w:r>
        <w:rPr>
          <w:rFonts w:hint="eastAsia"/>
        </w:rPr>
        <w:t>Gearyの検定</w:t>
      </w:r>
      <w:r w:rsidR="0037167A">
        <w:rPr>
          <w:rFonts w:hint="eastAsia"/>
        </w:rPr>
        <w:t>（収益</w:t>
      </w:r>
      <w:r w:rsidR="00BC5386">
        <w:rPr>
          <w:rFonts w:hint="eastAsia"/>
        </w:rPr>
        <w:t>率分布の尖度に関する正規性を検証する１手法</w:t>
      </w:r>
      <w:r w:rsidR="0037167A">
        <w:rPr>
          <w:rFonts w:hint="eastAsia"/>
        </w:rPr>
        <w:t>）</w:t>
      </w:r>
    </w:p>
    <w:p w:rsidR="00E31B71" w:rsidRDefault="00E31B71" w:rsidP="00EF2FEC">
      <w:pPr>
        <w:rPr>
          <w:rFonts w:hint="eastAsia"/>
        </w:rPr>
      </w:pPr>
      <w:r>
        <w:rPr>
          <w:rFonts w:hint="eastAsia"/>
        </w:rPr>
        <w:t>標本</w:t>
      </w:r>
      <w:bookmarkStart w:id="0" w:name="OLE_LINK3"/>
      <w:bookmarkStart w:id="1" w:name="OLE_LINK4"/>
      <m:oMath>
        <m:sSub>
          <m:sSubPr>
            <m:ctrlPr>
              <w:rPr>
                <w:rFonts w:ascii="Cambria Math" w:hAnsi="Cambria Math"/>
                <w:i/>
              </w:rPr>
            </m:ctrlPr>
          </m:sSubPr>
          <m:e>
            <m:r>
              <w:rPr>
                <w:rFonts w:ascii="Cambria Math" w:hAnsi="Cambria Math"/>
              </w:rPr>
              <m:t>ε</m:t>
            </m:r>
          </m:e>
          <m:sub>
            <m:r>
              <w:rPr>
                <w:rFonts w:ascii="Cambria Math" w:hAnsi="Cambria Math"/>
              </w:rPr>
              <m:t>1</m:t>
            </m:r>
          </m:sub>
        </m:sSub>
        <w:bookmarkEnd w:id="0"/>
        <w:bookmarkEnd w:id="1"/>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N</m:t>
            </m:r>
          </m:sub>
        </m:sSub>
      </m:oMath>
      <w:r>
        <w:rPr>
          <w:rFonts w:hint="eastAsia"/>
        </w:rPr>
        <w:t>に対して、以下の検定統計量を求める。</w:t>
      </w:r>
    </w:p>
    <w:p w:rsidR="00EF2FEC" w:rsidRPr="00E31B71" w:rsidRDefault="00EF2FEC" w:rsidP="00EF2FEC">
      <m:oMathPara>
        <m:oMath>
          <m:r>
            <m:rPr>
              <m:sty m:val="p"/>
            </m:rPr>
            <w:rPr>
              <w:rFonts w:ascii="Cambria Math" w:hAnsi="Cambria Math"/>
            </w:rPr>
            <m:t>G=</m:t>
          </m:r>
          <m:f>
            <m:fPr>
              <m:ctrlPr>
                <w:rPr>
                  <w:rFonts w:ascii="Cambria Math" w:hAnsi="Cambria Math"/>
                </w:rPr>
              </m:ctrlPr>
            </m:fPr>
            <m:num>
              <m:nary>
                <m:naryPr>
                  <m:chr m:val="∑"/>
                  <m:ctrlPr>
                    <w:rPr>
                      <w:rFonts w:ascii="Cambria Math" w:hAnsi="Cambria Math"/>
                      <w:i/>
                    </w:rPr>
                  </m:ctrlPr>
                </m:naryPr>
                <m:sub>
                  <m:r>
                    <w:rPr>
                      <w:rFonts w:ascii="Cambria Math" w:hAnsi="Cambria Math"/>
                    </w:rPr>
                    <m:t>n=1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n</m:t>
                          </m:r>
                        </m:sub>
                      </m:sSub>
                      <m:r>
                        <w:rPr>
                          <w:rFonts w:ascii="Cambria Math" w:hAnsi="Cambria Math"/>
                        </w:rPr>
                        <m:t>-</m:t>
                      </m:r>
                      <m:acc>
                        <m:accPr>
                          <m:chr m:val="̅"/>
                          <m:ctrlPr>
                            <w:rPr>
                              <w:rFonts w:ascii="Cambria Math" w:hAnsi="Cambria Math"/>
                              <w:i/>
                            </w:rPr>
                          </m:ctrlPr>
                        </m:accPr>
                        <m:e>
                          <m:r>
                            <w:rPr>
                              <w:rFonts w:ascii="Cambria Math" w:hAnsi="Cambria Math"/>
                            </w:rPr>
                            <m:t>ε</m:t>
                          </m:r>
                        </m:e>
                      </m:acc>
                    </m:e>
                  </m:d>
                </m:e>
              </m:nary>
              <m:ctrlPr>
                <w:rPr>
                  <w:rFonts w:ascii="Cambria Math" w:hAnsi="Cambria Math"/>
                  <w:i/>
                </w:rPr>
              </m:ctrlPr>
            </m:num>
            <m:den>
              <m:rad>
                <m:radPr>
                  <m:degHide m:val="1"/>
                  <m:ctrlPr>
                    <w:rPr>
                      <w:rFonts w:ascii="Cambria Math" w:hAnsi="Cambria Math"/>
                      <w:i/>
                    </w:rPr>
                  </m:ctrlPr>
                </m:radPr>
                <m:deg/>
                <m:e>
                  <m:r>
                    <w:rPr>
                      <w:rFonts w:ascii="Cambria Math" w:hAnsi="Cambria Math"/>
                    </w:rPr>
                    <m:t>N</m:t>
                  </m:r>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w:bookmarkStart w:id="2" w:name="OLE_LINK2"/>
                              <w:bookmarkStart w:id="3" w:name="OLE_LINK1"/>
                              <m:sSub>
                                <m:sSubPr>
                                  <m:ctrlPr>
                                    <w:rPr>
                                      <w:rFonts w:ascii="Cambria Math" w:hAnsi="Cambria Math"/>
                                      <w:i/>
                                    </w:rPr>
                                  </m:ctrlPr>
                                </m:sSubPr>
                                <m:e>
                                  <m:r>
                                    <w:rPr>
                                      <w:rFonts w:ascii="Cambria Math" w:hAnsi="Cambria Math"/>
                                    </w:rPr>
                                    <m:t>ε</m:t>
                                  </m:r>
                                </m:e>
                                <m:sub>
                                  <m:r>
                                    <w:rPr>
                                      <w:rFonts w:ascii="Cambria Math" w:hAnsi="Cambria Math"/>
                                    </w:rPr>
                                    <m:t>n</m:t>
                                  </m:r>
                                </m:sub>
                              </m:sSub>
                              <m:r>
                                <w:rPr>
                                  <w:rFonts w:ascii="Cambria Math" w:hAnsi="Cambria Math"/>
                                </w:rPr>
                                <m:t>-</m:t>
                              </m:r>
                              <m:acc>
                                <m:accPr>
                                  <m:chr m:val="̅"/>
                                  <m:ctrlPr>
                                    <w:rPr>
                                      <w:rFonts w:ascii="Cambria Math" w:hAnsi="Cambria Math"/>
                                      <w:i/>
                                    </w:rPr>
                                  </m:ctrlPr>
                                </m:accPr>
                                <m:e>
                                  <m:r>
                                    <w:rPr>
                                      <w:rFonts w:ascii="Cambria Math" w:hAnsi="Cambria Math"/>
                                    </w:rPr>
                                    <m:t>ε</m:t>
                                  </m:r>
                                </m:e>
                              </m:acc>
                              <w:bookmarkEnd w:id="2"/>
                              <w:bookmarkEnd w:id="3"/>
                            </m:e>
                          </m:d>
                        </m:e>
                        <m:sup>
                          <m:r>
                            <w:rPr>
                              <w:rFonts w:ascii="Cambria Math" w:hAnsi="Cambria Math"/>
                            </w:rPr>
                            <m:t>2</m:t>
                          </m:r>
                        </m:sup>
                      </m:sSup>
                    </m:e>
                  </m:nary>
                </m:e>
              </m:rad>
            </m:den>
          </m:f>
        </m:oMath>
      </m:oMathPara>
    </w:p>
    <w:p w:rsidR="00E31B71" w:rsidRDefault="00E31B71" w:rsidP="00EF2FEC">
      <w:r>
        <w:rPr>
          <w:rFonts w:hint="eastAsia"/>
        </w:rPr>
        <w:t>帰無仮説</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hint="eastAsia"/>
        </w:rPr>
        <w:t>：標本分布は正規分布に従う</w:t>
      </w:r>
      <w:r>
        <w:br/>
      </w:r>
      <w:r>
        <w:rPr>
          <w:rFonts w:hint="eastAsia"/>
        </w:rPr>
        <w:t>対立仮説</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hint="eastAsia"/>
        </w:rPr>
        <w:t>：標本分布は正規分布に従わず裾の長い分布となる</w:t>
      </w:r>
    </w:p>
    <w:p w:rsidR="00E31B71" w:rsidRDefault="00E31B71" w:rsidP="00EF2FEC">
      <w:r>
        <w:rPr>
          <w:rFonts w:hint="eastAsia"/>
        </w:rPr>
        <w:t>帰無仮説のもとで、</w:t>
      </w:r>
      <m:oMath>
        <m:r>
          <w:rPr>
            <w:rFonts w:ascii="Cambria Math" w:hAnsi="Cambria Math"/>
          </w:rPr>
          <m:t>G</m:t>
        </m:r>
      </m:oMath>
      <w:r>
        <w:rPr>
          <w:rFonts w:hint="eastAsia"/>
        </w:rPr>
        <w:t>は漸近的に平均</w:t>
      </w:r>
      <m:oMath>
        <m:rad>
          <m:radPr>
            <m:degHide m:val="1"/>
            <m:ctrlPr>
              <w:rPr>
                <w:rFonts w:ascii="Cambria Math" w:hAnsi="Cambria Math"/>
                <w:i/>
              </w:rPr>
            </m:ctrlPr>
          </m:radPr>
          <m:deg/>
          <m:e>
            <m:r>
              <w:rPr>
                <w:rFonts w:ascii="Cambria Math" w:hAnsi="Cambria Math"/>
              </w:rPr>
              <m:t>2/π</m:t>
            </m:r>
          </m:e>
        </m:rad>
      </m:oMath>
      <w:r>
        <w:rPr>
          <w:rFonts w:hint="eastAsia"/>
        </w:rPr>
        <w:t>、分散</w:t>
      </w:r>
      <m:oMath>
        <m:r>
          <w:rPr>
            <w:rFonts w:ascii="Cambria Math" w:hAnsi="Cambria Math"/>
          </w:rPr>
          <m:t>1/N⋅</m:t>
        </m:r>
        <m:d>
          <m:dPr>
            <m:ctrlPr>
              <w:rPr>
                <w:rFonts w:ascii="Cambria Math" w:hAnsi="Cambria Math"/>
                <w:i/>
              </w:rPr>
            </m:ctrlPr>
          </m:dPr>
          <m:e>
            <m:r>
              <w:rPr>
                <w:rFonts w:ascii="Cambria Math" w:hAnsi="Cambria Math"/>
              </w:rPr>
              <m:t>1-2/π</m:t>
            </m:r>
          </m:e>
        </m:d>
      </m:oMath>
      <w:r>
        <w:rPr>
          <w:rFonts w:hint="eastAsia"/>
        </w:rPr>
        <w:t>の正規分布に従うため、対立仮説</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hint="eastAsia"/>
        </w:rPr>
        <w:t>に基づき、棄却域を</w:t>
      </w:r>
      <w:r w:rsidR="00410E28">
        <w:rPr>
          <w:rFonts w:hint="eastAsia"/>
        </w:rPr>
        <w:t>以下とすれば有意水準</w:t>
      </w:r>
      <w:r w:rsidR="00410E28">
        <w:t>95%</w:t>
      </w:r>
      <w:r w:rsidR="00410E28">
        <w:rPr>
          <w:rFonts w:hint="eastAsia"/>
        </w:rPr>
        <w:t>で検定できる。</w:t>
      </w:r>
    </w:p>
    <w:p w:rsidR="00410E28" w:rsidRPr="00E31B71" w:rsidRDefault="00410E28" w:rsidP="00EF2FEC">
      <w:pPr>
        <w:rPr>
          <w:rFonts w:hint="eastAsia"/>
        </w:rPr>
      </w:pPr>
      <m:oMathPara>
        <m:oMath>
          <m:r>
            <w:rPr>
              <w:rFonts w:ascii="Cambria Math" w:hAnsi="Cambria Math"/>
            </w:rPr>
            <m:t>G&lt;</m:t>
          </m:r>
          <m:sSub>
            <m:sSubPr>
              <m:ctrlPr>
                <w:rPr>
                  <w:rFonts w:ascii="Cambria Math" w:hAnsi="Cambria Math"/>
                  <w:i/>
                </w:rPr>
              </m:ctrlPr>
            </m:sSubPr>
            <m:e>
              <m:r>
                <w:rPr>
                  <w:rFonts w:ascii="Cambria Math" w:hAnsi="Cambria Math"/>
                </w:rPr>
                <m:t>G</m:t>
              </m:r>
            </m:e>
            <m:sub>
              <m:r>
                <w:rPr>
                  <w:rFonts w:ascii="Cambria Math" w:hAnsi="Cambria Math"/>
                </w:rPr>
                <m:t>0.05</m:t>
              </m:r>
            </m:sub>
          </m:sSub>
        </m:oMath>
      </m:oMathPara>
    </w:p>
    <w:p w:rsidR="00E31B71" w:rsidRDefault="00E31B71" w:rsidP="00EF2FEC"/>
    <w:p w:rsidR="00373180" w:rsidRDefault="00373180" w:rsidP="00373180">
      <w:pPr>
        <w:pStyle w:val="2"/>
      </w:pPr>
      <w:r>
        <w:rPr>
          <w:rFonts w:hint="eastAsia"/>
        </w:rPr>
        <w:t>実務から見た非正規性</w:t>
      </w:r>
    </w:p>
    <w:p w:rsidR="00373180" w:rsidRPr="00373180" w:rsidRDefault="00373180" w:rsidP="00373180">
      <w:pPr>
        <w:rPr>
          <w:rFonts w:hint="eastAsia"/>
        </w:rPr>
      </w:pPr>
      <w:r>
        <w:rPr>
          <w:rFonts w:hint="eastAsia"/>
        </w:rPr>
        <w:t>実際には</w:t>
      </w:r>
      <w:proofErr w:type="spellStart"/>
      <w:r w:rsidR="006931C2">
        <w:t>VaR</w:t>
      </w:r>
      <w:proofErr w:type="spellEnd"/>
      <w:r w:rsidR="006931C2">
        <w:rPr>
          <w:rFonts w:hint="eastAsia"/>
        </w:rPr>
        <w:t>モデルを作成している技術者の間では、ほとんどのリスクファクターの収益率分布は正規分布ではないとしているが、必ずしも実務上で正規性を仮定しないということではない。</w:t>
      </w:r>
    </w:p>
    <w:p w:rsidR="00373180" w:rsidRDefault="00373180" w:rsidP="00373180">
      <w:r w:rsidRPr="00373180">
        <w:lastRenderedPageBreak/>
        <w:drawing>
          <wp:inline distT="0" distB="0" distL="0" distR="0" wp14:anchorId="02C2C268" wp14:editId="4E309FE1">
            <wp:extent cx="5396230" cy="1810385"/>
            <wp:effectExtent l="0" t="0" r="1270" b="571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96230" cy="1810385"/>
                    </a:xfrm>
                    <a:prstGeom prst="rect">
                      <a:avLst/>
                    </a:prstGeom>
                  </pic:spPr>
                </pic:pic>
              </a:graphicData>
            </a:graphic>
          </wp:inline>
        </w:drawing>
      </w:r>
    </w:p>
    <w:p w:rsidR="006931C2" w:rsidRDefault="006931C2" w:rsidP="00373180"/>
    <w:p w:rsidR="006931C2" w:rsidRDefault="006931C2" w:rsidP="00373180">
      <w:r>
        <w:rPr>
          <w:rFonts w:hint="eastAsia"/>
        </w:rPr>
        <w:t>正規性を仮定するための言い訳は以下のものがある</w:t>
      </w:r>
    </w:p>
    <w:p w:rsidR="006931C2" w:rsidRDefault="004F5FFD" w:rsidP="006931C2">
      <w:pPr>
        <w:pStyle w:val="a3"/>
        <w:numPr>
          <w:ilvl w:val="0"/>
          <w:numId w:val="4"/>
        </w:numPr>
        <w:ind w:leftChars="0"/>
      </w:pPr>
      <w:r>
        <w:rPr>
          <w:rFonts w:hint="eastAsia"/>
        </w:rPr>
        <w:t>正規性を仮定する方法以外に簡便な計算方法が提示されていない</w:t>
      </w:r>
    </w:p>
    <w:p w:rsidR="00B3188C" w:rsidRDefault="00963FF6" w:rsidP="00963FF6">
      <w:pPr>
        <w:pStyle w:val="a3"/>
        <w:numPr>
          <w:ilvl w:val="3"/>
          <w:numId w:val="4"/>
        </w:numPr>
        <w:ind w:leftChars="0"/>
      </w:pPr>
      <w:r>
        <w:rPr>
          <w:rFonts w:hint="eastAsia"/>
        </w:rPr>
        <w:t>正規性を仮定しないヒストリカル法が存在する</w:t>
      </w:r>
    </w:p>
    <w:p w:rsidR="004F5FFD" w:rsidRDefault="004F5FFD" w:rsidP="006931C2">
      <w:pPr>
        <w:pStyle w:val="a3"/>
        <w:numPr>
          <w:ilvl w:val="0"/>
          <w:numId w:val="4"/>
        </w:numPr>
        <w:ind w:leftChars="0"/>
      </w:pPr>
      <w:r>
        <w:rPr>
          <w:rFonts w:hint="eastAsia"/>
        </w:rPr>
        <w:t>短期間のリスクを対象としているときは、</w:t>
      </w:r>
      <w:r>
        <w:t>fat-tail</w:t>
      </w:r>
      <w:r>
        <w:rPr>
          <w:rFonts w:hint="eastAsia"/>
        </w:rPr>
        <w:t>が計算結果に与える影響は少ない</w:t>
      </w:r>
    </w:p>
    <w:p w:rsidR="00963FF6" w:rsidRDefault="00963FF6" w:rsidP="00963FF6">
      <w:pPr>
        <w:pStyle w:val="a3"/>
        <w:numPr>
          <w:ilvl w:val="2"/>
          <w:numId w:val="4"/>
        </w:numPr>
        <w:ind w:leftChars="0"/>
        <w:rPr>
          <w:rFonts w:hint="eastAsia"/>
        </w:rPr>
      </w:pPr>
      <w:r>
        <w:rPr>
          <w:rFonts w:hint="eastAsia"/>
        </w:rPr>
        <w:t>日次収益率など短期間のリスクほど</w:t>
      </w:r>
      <w:r>
        <w:t>fat-tail</w:t>
      </w:r>
      <w:r>
        <w:rPr>
          <w:rFonts w:hint="eastAsia"/>
        </w:rPr>
        <w:t>の性質が顕著である</w:t>
      </w:r>
    </w:p>
    <w:p w:rsidR="004F5FFD" w:rsidRDefault="004F5FFD" w:rsidP="006931C2">
      <w:pPr>
        <w:pStyle w:val="a3"/>
        <w:numPr>
          <w:ilvl w:val="0"/>
          <w:numId w:val="4"/>
        </w:numPr>
        <w:ind w:leftChars="0"/>
      </w:pPr>
      <w:r>
        <w:rPr>
          <w:rFonts w:hint="eastAsia"/>
        </w:rPr>
        <w:t>ポートフォーリオのリスクは多くのリスクの和であり、そのため中心極限定理によりポートフォーリオのリスクは正規分布に近似できる</w:t>
      </w:r>
    </w:p>
    <w:p w:rsidR="00963FF6" w:rsidRDefault="00963FF6" w:rsidP="00963FF6">
      <w:pPr>
        <w:pStyle w:val="a3"/>
        <w:numPr>
          <w:ilvl w:val="2"/>
          <w:numId w:val="4"/>
        </w:numPr>
        <w:ind w:leftChars="0"/>
      </w:pPr>
      <w:r>
        <w:rPr>
          <w:rFonts w:hint="eastAsia"/>
        </w:rPr>
        <w:t>中心極限定理を仮定してしまうと、リスク間の相関を考慮しているデルタ法と理論的に相容れないことになる。</w:t>
      </w:r>
    </w:p>
    <w:p w:rsidR="004F5FFD" w:rsidRDefault="004F5FFD" w:rsidP="004F5FFD"/>
    <w:p w:rsidR="004F5FFD" w:rsidRDefault="004F5FFD" w:rsidP="004F5FFD">
      <w:pPr>
        <w:pStyle w:val="1"/>
      </w:pPr>
      <w:proofErr w:type="spellStart"/>
      <w:r>
        <w:rPr>
          <w:rFonts w:hint="eastAsia"/>
        </w:rPr>
        <w:t>V</w:t>
      </w:r>
      <w:r>
        <w:t>aR</w:t>
      </w:r>
      <w:proofErr w:type="spellEnd"/>
      <w:r>
        <w:rPr>
          <w:rFonts w:hint="eastAsia"/>
        </w:rPr>
        <w:t>管理手法のフレームワーク</w:t>
      </w:r>
    </w:p>
    <w:p w:rsidR="00012ECF" w:rsidRPr="00012ECF" w:rsidRDefault="00012ECF" w:rsidP="00012ECF">
      <w:pPr>
        <w:rPr>
          <w:rFonts w:hint="eastAsia"/>
        </w:rPr>
      </w:pPr>
      <w:bookmarkStart w:id="4" w:name="_GoBack"/>
      <w:bookmarkEnd w:id="4"/>
    </w:p>
    <w:p w:rsidR="004F5FFD" w:rsidRPr="00373180" w:rsidRDefault="004F5FFD" w:rsidP="004F5FFD">
      <w:pPr>
        <w:rPr>
          <w:rFonts w:hint="eastAsia"/>
        </w:rPr>
      </w:pPr>
      <w:r w:rsidRPr="004F5FFD">
        <w:lastRenderedPageBreak/>
        <w:drawing>
          <wp:inline distT="0" distB="0" distL="0" distR="0" wp14:anchorId="2BD82E5A" wp14:editId="29307A21">
            <wp:extent cx="5396230" cy="7606030"/>
            <wp:effectExtent l="0" t="0" r="1270" b="127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6230" cy="7606030"/>
                    </a:xfrm>
                    <a:prstGeom prst="rect">
                      <a:avLst/>
                    </a:prstGeom>
                  </pic:spPr>
                </pic:pic>
              </a:graphicData>
            </a:graphic>
          </wp:inline>
        </w:drawing>
      </w:r>
    </w:p>
    <w:sectPr w:rsidR="004F5FFD" w:rsidRPr="00373180" w:rsidSect="005F59A2">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0CBC"/>
    <w:multiLevelType w:val="hybridMultilevel"/>
    <w:tmpl w:val="6A64001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14A36713"/>
    <w:multiLevelType w:val="hybridMultilevel"/>
    <w:tmpl w:val="97D2E79A"/>
    <w:lvl w:ilvl="0" w:tplc="0409000F">
      <w:start w:val="1"/>
      <w:numFmt w:val="decimal"/>
      <w:lvlText w:val="%1."/>
      <w:lvlJc w:val="left"/>
      <w:pPr>
        <w:ind w:left="420" w:hanging="420"/>
      </w:pPr>
    </w:lvl>
    <w:lvl w:ilvl="1" w:tplc="04090001">
      <w:start w:val="1"/>
      <w:numFmt w:val="bullet"/>
      <w:lvlText w:val=""/>
      <w:lvlJc w:val="left"/>
      <w:pPr>
        <w:ind w:left="420" w:hanging="420"/>
      </w:pPr>
      <w:rPr>
        <w:rFonts w:ascii="Wingdings" w:hAnsi="Wingdings" w:hint="default"/>
      </w:rPr>
    </w:lvl>
    <w:lvl w:ilvl="2" w:tplc="0409000B">
      <w:start w:val="1"/>
      <w:numFmt w:val="bullet"/>
      <w:lvlText w:val=""/>
      <w:lvlJc w:val="left"/>
      <w:pPr>
        <w:ind w:left="840" w:hanging="420"/>
      </w:pPr>
      <w:rPr>
        <w:rFonts w:ascii="Wingdings" w:hAnsi="Wingdings" w:hint="default"/>
      </w:rPr>
    </w:lvl>
    <w:lvl w:ilvl="3" w:tplc="0409000B">
      <w:start w:val="1"/>
      <w:numFmt w:val="bullet"/>
      <w:lvlText w:val=""/>
      <w:lvlJc w:val="left"/>
      <w:pPr>
        <w:ind w:left="840" w:hanging="420"/>
      </w:pPr>
      <w:rPr>
        <w:rFonts w:ascii="Wingdings" w:hAnsi="Wingdings" w:hint="default"/>
      </w:rPr>
    </w:lvl>
    <w:lvl w:ilvl="4" w:tplc="04090017">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E5C3A9E"/>
    <w:multiLevelType w:val="hybridMultilevel"/>
    <w:tmpl w:val="ECCABEE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57081A5C"/>
    <w:multiLevelType w:val="hybridMultilevel"/>
    <w:tmpl w:val="04CC4D6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78EB182B"/>
    <w:multiLevelType w:val="hybridMultilevel"/>
    <w:tmpl w:val="B868EAB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96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0FA"/>
    <w:rsid w:val="00012ECF"/>
    <w:rsid w:val="000260FA"/>
    <w:rsid w:val="00197CDD"/>
    <w:rsid w:val="00211764"/>
    <w:rsid w:val="002B7596"/>
    <w:rsid w:val="00366089"/>
    <w:rsid w:val="0037167A"/>
    <w:rsid w:val="00373180"/>
    <w:rsid w:val="00410E28"/>
    <w:rsid w:val="004F5AD6"/>
    <w:rsid w:val="004F5FFD"/>
    <w:rsid w:val="00505DBA"/>
    <w:rsid w:val="0056179E"/>
    <w:rsid w:val="005B37EE"/>
    <w:rsid w:val="005E1284"/>
    <w:rsid w:val="005F59A2"/>
    <w:rsid w:val="0067475D"/>
    <w:rsid w:val="00691AB4"/>
    <w:rsid w:val="006931C2"/>
    <w:rsid w:val="006F1477"/>
    <w:rsid w:val="00805BBF"/>
    <w:rsid w:val="00963FF6"/>
    <w:rsid w:val="00B3188C"/>
    <w:rsid w:val="00B76341"/>
    <w:rsid w:val="00BC5386"/>
    <w:rsid w:val="00BF1567"/>
    <w:rsid w:val="00C66AB1"/>
    <w:rsid w:val="00E31B71"/>
    <w:rsid w:val="00E637FA"/>
    <w:rsid w:val="00EF2FEC"/>
    <w:rsid w:val="00FD26DA"/>
    <w:rsid w:val="00FF03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0E9AFAE"/>
  <w14:defaultImageDpi w14:val="32767"/>
  <w15:chartTrackingRefBased/>
  <w15:docId w15:val="{2596C234-C052-0348-A682-EA077AF90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ja-JP" w:bidi="ar-SA"/>
      </w:rPr>
    </w:rPrDefault>
    <w:pPrDefault>
      <w:pPr>
        <w:spacing w:before="100" w:beforeAutospacing="1" w:after="100" w:afterAutospacing="1"/>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a"/>
    <w:next w:val="a"/>
    <w:link w:val="10"/>
    <w:uiPriority w:val="9"/>
    <w:qFormat/>
    <w:rsid w:val="00366089"/>
    <w:pPr>
      <w:keepNext/>
      <w:outlineLvl w:val="0"/>
    </w:pPr>
    <w:rPr>
      <w:rFonts w:asciiTheme="majorHAnsi" w:eastAsiaTheme="majorEastAsia" w:hAnsiTheme="majorHAnsi" w:cstheme="majorBidi"/>
    </w:rPr>
  </w:style>
  <w:style w:type="paragraph" w:styleId="2">
    <w:name w:val="heading 2"/>
    <w:basedOn w:val="a"/>
    <w:next w:val="a"/>
    <w:link w:val="20"/>
    <w:uiPriority w:val="9"/>
    <w:unhideWhenUsed/>
    <w:qFormat/>
    <w:rsid w:val="00366089"/>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E31B71"/>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366089"/>
    <w:rPr>
      <w:rFonts w:asciiTheme="majorHAnsi" w:eastAsiaTheme="majorEastAsia" w:hAnsiTheme="majorHAnsi" w:cstheme="majorBidi"/>
    </w:rPr>
  </w:style>
  <w:style w:type="character" w:customStyle="1" w:styleId="20">
    <w:name w:val="見出し 2 (文字)"/>
    <w:basedOn w:val="a0"/>
    <w:link w:val="2"/>
    <w:uiPriority w:val="9"/>
    <w:rsid w:val="00366089"/>
    <w:rPr>
      <w:rFonts w:asciiTheme="majorHAnsi" w:eastAsiaTheme="majorEastAsia" w:hAnsiTheme="majorHAnsi" w:cstheme="majorBidi"/>
    </w:rPr>
  </w:style>
  <w:style w:type="paragraph" w:styleId="a3">
    <w:name w:val="List Paragraph"/>
    <w:basedOn w:val="a"/>
    <w:uiPriority w:val="34"/>
    <w:qFormat/>
    <w:rsid w:val="00366089"/>
    <w:pPr>
      <w:ind w:leftChars="400" w:left="960"/>
    </w:pPr>
  </w:style>
  <w:style w:type="character" w:styleId="a4">
    <w:name w:val="Placeholder Text"/>
    <w:basedOn w:val="a0"/>
    <w:uiPriority w:val="99"/>
    <w:semiHidden/>
    <w:rsid w:val="00366089"/>
    <w:rPr>
      <w:color w:val="808080"/>
    </w:rPr>
  </w:style>
  <w:style w:type="character" w:customStyle="1" w:styleId="30">
    <w:name w:val="見出し 3 (文字)"/>
    <w:basedOn w:val="a0"/>
    <w:link w:val="3"/>
    <w:uiPriority w:val="9"/>
    <w:rsid w:val="00E31B71"/>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5</Pages>
  <Words>210</Words>
  <Characters>1198</Characters>
  <Application>Microsoft Office Word</Application>
  <DocSecurity>0</DocSecurity>
  <Lines>9</Lines>
  <Paragraphs>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t.shunsuke.1117@outlook.jp</dc:creator>
  <cp:keywords/>
  <dc:description/>
  <cp:lastModifiedBy>田中 俊介</cp:lastModifiedBy>
  <cp:revision>13</cp:revision>
  <dcterms:created xsi:type="dcterms:W3CDTF">2021-01-11T12:03:00Z</dcterms:created>
  <dcterms:modified xsi:type="dcterms:W3CDTF">2021-01-11T15:09:00Z</dcterms:modified>
</cp:coreProperties>
</file>