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999" w:rsidRDefault="00B5362B" w:rsidP="00556C85">
      <w:pPr>
        <w:spacing w:line="240" w:lineRule="auto"/>
        <w:contextualSpacing/>
        <w:jc w:val="both"/>
        <w:rPr>
          <w:lang w:val="en-US"/>
        </w:rPr>
      </w:pPr>
      <w:r w:rsidRPr="00B5362B">
        <w:rPr>
          <w:lang w:val="en-US"/>
        </w:rPr>
        <w:t>MODULATING THE EFFICACY OF ANTIBIOTICS AND SECONDARY PLANT COMPOUNDS BY COMBINED USE</w:t>
      </w:r>
    </w:p>
    <w:p w:rsidR="00AD2DD7" w:rsidRDefault="00FF0BC2" w:rsidP="00556C85">
      <w:pPr>
        <w:spacing w:line="240" w:lineRule="auto"/>
        <w:contextualSpacing/>
        <w:jc w:val="both"/>
      </w:pPr>
      <w:r w:rsidRPr="002D1654">
        <w:t>Nadine Scholz-Neumann</w:t>
      </w:r>
      <w:r>
        <w:t>,</w:t>
      </w:r>
      <w:r w:rsidRPr="002D1654">
        <w:t xml:space="preserve"> </w:t>
      </w:r>
      <w:r w:rsidR="00556C85" w:rsidRPr="002D1654">
        <w:t>Inge Heinzl</w:t>
      </w:r>
      <w:r>
        <w:t>,</w:t>
      </w:r>
      <w:r w:rsidR="00556C85" w:rsidRPr="002D1654">
        <w:t xml:space="preserve"> </w:t>
      </w:r>
      <w:r w:rsidR="00001EA3" w:rsidRPr="002D1654">
        <w:rPr>
          <w:u w:val="single"/>
        </w:rPr>
        <w:t>Thilo Borchardt</w:t>
      </w:r>
      <w:r>
        <w:rPr>
          <w:u w:val="single"/>
        </w:rPr>
        <w:t>;</w:t>
      </w:r>
      <w:r w:rsidR="00001EA3" w:rsidRPr="002D1654">
        <w:t xml:space="preserve"> </w:t>
      </w:r>
      <w:r w:rsidR="00556C85" w:rsidRPr="002D1654">
        <w:t>EW Nutrition</w:t>
      </w:r>
      <w:r w:rsidR="002D1654">
        <w:t xml:space="preserve"> GmbH</w:t>
      </w:r>
    </w:p>
    <w:p w:rsidR="002D1654" w:rsidRPr="002D1654" w:rsidRDefault="002D1654" w:rsidP="00556C85">
      <w:pPr>
        <w:spacing w:line="240" w:lineRule="auto"/>
        <w:contextualSpacing/>
        <w:jc w:val="both"/>
      </w:pPr>
    </w:p>
    <w:p w:rsidR="00001EA3" w:rsidRPr="00001EA3" w:rsidRDefault="00ED730F" w:rsidP="00001EA3">
      <w:pPr>
        <w:spacing w:line="240" w:lineRule="auto"/>
        <w:contextualSpacing/>
        <w:jc w:val="both"/>
        <w:rPr>
          <w:lang w:val="en-US"/>
        </w:rPr>
      </w:pPr>
      <w:r w:rsidRPr="00ED730F">
        <w:rPr>
          <w:lang w:val="en-US"/>
        </w:rPr>
        <w:t>O</w:t>
      </w:r>
      <w:r w:rsidR="00A239A5">
        <w:rPr>
          <w:lang w:val="en-US"/>
        </w:rPr>
        <w:t>ral</w:t>
      </w:r>
      <w:r w:rsidR="008C4308">
        <w:rPr>
          <w:lang w:val="en-US"/>
        </w:rPr>
        <w:t>ly administered</w:t>
      </w:r>
      <w:r w:rsidR="00B5362B">
        <w:rPr>
          <w:lang w:val="en-US"/>
        </w:rPr>
        <w:t xml:space="preserve"> </w:t>
      </w:r>
      <w:r w:rsidR="00A239A5">
        <w:rPr>
          <w:lang w:val="en-US"/>
        </w:rPr>
        <w:t xml:space="preserve">veterinary antibiotics </w:t>
      </w:r>
      <w:r w:rsidR="008C4308">
        <w:rPr>
          <w:lang w:val="en-US"/>
        </w:rPr>
        <w:t>can</w:t>
      </w:r>
      <w:r w:rsidR="00A239A5">
        <w:rPr>
          <w:lang w:val="en-US"/>
        </w:rPr>
        <w:t xml:space="preserve"> mix </w:t>
      </w:r>
      <w:r>
        <w:rPr>
          <w:lang w:val="en-US"/>
        </w:rPr>
        <w:t xml:space="preserve">with </w:t>
      </w:r>
      <w:r w:rsidR="00A239A5">
        <w:rPr>
          <w:lang w:val="en-US"/>
        </w:rPr>
        <w:t>feed additives a</w:t>
      </w:r>
      <w:r w:rsidR="002D1654">
        <w:rPr>
          <w:lang w:val="en-US"/>
        </w:rPr>
        <w:t>long the gastrointestinal tract</w:t>
      </w:r>
      <w:r w:rsidR="00B5362B" w:rsidRPr="00B5362B">
        <w:rPr>
          <w:lang w:val="en-US"/>
        </w:rPr>
        <w:t xml:space="preserve">. </w:t>
      </w:r>
      <w:r w:rsidR="0052369A">
        <w:rPr>
          <w:lang w:val="en-US"/>
        </w:rPr>
        <w:t xml:space="preserve">Despite </w:t>
      </w:r>
      <w:r w:rsidR="00482259">
        <w:rPr>
          <w:lang w:val="en-US"/>
        </w:rPr>
        <w:t>accumulating data</w:t>
      </w:r>
      <w:r w:rsidR="00001EA3" w:rsidRPr="00001EA3">
        <w:rPr>
          <w:lang w:val="en-US"/>
        </w:rPr>
        <w:t xml:space="preserve"> </w:t>
      </w:r>
      <w:r w:rsidR="00001EA3">
        <w:rPr>
          <w:lang w:val="en-US"/>
        </w:rPr>
        <w:t>a</w:t>
      </w:r>
      <w:r w:rsidR="00001EA3" w:rsidRPr="00001EA3">
        <w:rPr>
          <w:lang w:val="en-US"/>
        </w:rPr>
        <w:t xml:space="preserve">bout the influence of </w:t>
      </w:r>
      <w:r w:rsidR="00001EA3">
        <w:rPr>
          <w:lang w:val="en-US"/>
        </w:rPr>
        <w:t xml:space="preserve">secondary plant compound (SPC) based </w:t>
      </w:r>
      <w:r w:rsidR="00001EA3" w:rsidRPr="00001EA3">
        <w:rPr>
          <w:lang w:val="en-US"/>
        </w:rPr>
        <w:t xml:space="preserve">additives on the antimicrobial efficacy of veterinary antibiotics </w:t>
      </w:r>
      <w:r w:rsidR="00001EA3" w:rsidRPr="007E6D2E">
        <w:rPr>
          <w:i/>
          <w:lang w:val="en-US"/>
        </w:rPr>
        <w:t>in vitro</w:t>
      </w:r>
      <w:r w:rsidR="00001EA3" w:rsidRPr="00001EA3">
        <w:rPr>
          <w:lang w:val="en-US"/>
        </w:rPr>
        <w:t xml:space="preserve">, the picture is far from being complete. It becomes more evident now, that not only the proportional composition of these so called </w:t>
      </w:r>
      <w:proofErr w:type="spellStart"/>
      <w:r w:rsidR="00092A93">
        <w:rPr>
          <w:lang w:val="en-US"/>
        </w:rPr>
        <w:t>p</w:t>
      </w:r>
      <w:r w:rsidR="00001EA3" w:rsidRPr="00001EA3">
        <w:rPr>
          <w:lang w:val="en-US"/>
        </w:rPr>
        <w:t>hytogenics</w:t>
      </w:r>
      <w:proofErr w:type="spellEnd"/>
      <w:r w:rsidR="00001EA3">
        <w:rPr>
          <w:lang w:val="en-US"/>
        </w:rPr>
        <w:t xml:space="preserve"> determines the </w:t>
      </w:r>
      <w:r w:rsidR="00FF0BC2">
        <w:rPr>
          <w:lang w:val="en-US"/>
        </w:rPr>
        <w:t xml:space="preserve">properties </w:t>
      </w:r>
      <w:r w:rsidR="00001EA3">
        <w:rPr>
          <w:lang w:val="en-US"/>
        </w:rPr>
        <w:t>of such products</w:t>
      </w:r>
      <w:r w:rsidR="00001EA3" w:rsidRPr="00001EA3">
        <w:rPr>
          <w:lang w:val="en-US"/>
        </w:rPr>
        <w:t>, but also the</w:t>
      </w:r>
      <w:r w:rsidR="00001EA3">
        <w:rPr>
          <w:lang w:val="en-US"/>
        </w:rPr>
        <w:t>ir</w:t>
      </w:r>
      <w:r w:rsidR="00001EA3" w:rsidRPr="00001EA3">
        <w:rPr>
          <w:lang w:val="en-US"/>
        </w:rPr>
        <w:t xml:space="preserve"> combination </w:t>
      </w:r>
      <w:r w:rsidR="00001EA3">
        <w:rPr>
          <w:lang w:val="en-US"/>
        </w:rPr>
        <w:t>with</w:t>
      </w:r>
      <w:r w:rsidR="00001EA3" w:rsidRPr="00001EA3">
        <w:rPr>
          <w:lang w:val="en-US"/>
        </w:rPr>
        <w:t xml:space="preserve"> a given antibiotic </w:t>
      </w:r>
      <w:r w:rsidR="00001EA3">
        <w:rPr>
          <w:lang w:val="en-US"/>
        </w:rPr>
        <w:t>can influence the overall</w:t>
      </w:r>
      <w:r w:rsidR="00001EA3" w:rsidRPr="00001EA3">
        <w:rPr>
          <w:lang w:val="en-US"/>
        </w:rPr>
        <w:t xml:space="preserve"> antimicrobial efficacy</w:t>
      </w:r>
      <w:r w:rsidR="00001EA3">
        <w:rPr>
          <w:lang w:val="en-US"/>
        </w:rPr>
        <w:t>.</w:t>
      </w:r>
    </w:p>
    <w:p w:rsidR="00482259" w:rsidRDefault="00482259" w:rsidP="00001EA3">
      <w:pPr>
        <w:spacing w:line="240" w:lineRule="auto"/>
        <w:contextualSpacing/>
        <w:jc w:val="both"/>
        <w:rPr>
          <w:lang w:val="en-US"/>
        </w:rPr>
      </w:pPr>
      <w:r>
        <w:rPr>
          <w:lang w:val="en-US"/>
        </w:rPr>
        <w:t>For selected r</w:t>
      </w:r>
      <w:r w:rsidR="00ED730F">
        <w:rPr>
          <w:lang w:val="en-US"/>
        </w:rPr>
        <w:t xml:space="preserve">eference strains and field isolates of </w:t>
      </w:r>
      <w:r w:rsidR="00ED730F" w:rsidRPr="002D1654">
        <w:rPr>
          <w:i/>
          <w:lang w:val="en-US"/>
        </w:rPr>
        <w:t>E.</w:t>
      </w:r>
      <w:r w:rsidR="00CB51B1">
        <w:rPr>
          <w:i/>
          <w:lang w:val="en-US"/>
        </w:rPr>
        <w:t xml:space="preserve"> </w:t>
      </w:r>
      <w:r w:rsidR="00ED730F" w:rsidRPr="002D1654">
        <w:rPr>
          <w:i/>
          <w:lang w:val="en-US"/>
        </w:rPr>
        <w:t>coli</w:t>
      </w:r>
      <w:r w:rsidR="00ED730F">
        <w:rPr>
          <w:lang w:val="en-US"/>
        </w:rPr>
        <w:t xml:space="preserve">, </w:t>
      </w:r>
      <w:r w:rsidR="00ED730F" w:rsidRPr="002D1654">
        <w:rPr>
          <w:i/>
          <w:lang w:val="en-US"/>
        </w:rPr>
        <w:t>Salmonella</w:t>
      </w:r>
      <w:r w:rsidR="002D1654">
        <w:rPr>
          <w:i/>
          <w:lang w:val="en-US"/>
        </w:rPr>
        <w:t xml:space="preserve"> spp.</w:t>
      </w:r>
      <w:r w:rsidR="00ED730F">
        <w:rPr>
          <w:lang w:val="en-US"/>
        </w:rPr>
        <w:t xml:space="preserve"> and </w:t>
      </w:r>
      <w:r w:rsidR="00ED730F" w:rsidRPr="002D1654">
        <w:rPr>
          <w:i/>
          <w:lang w:val="en-US"/>
        </w:rPr>
        <w:t>Clostridium perfringens</w:t>
      </w:r>
      <w:r w:rsidR="0092500F">
        <w:rPr>
          <w:lang w:val="en-US"/>
        </w:rPr>
        <w:t xml:space="preserve"> </w:t>
      </w:r>
      <w:r w:rsidR="00ED730F">
        <w:rPr>
          <w:lang w:val="en-US"/>
        </w:rPr>
        <w:t xml:space="preserve">we determined the concentration dependent antimicrobial efficacy of antibiotics and </w:t>
      </w:r>
      <w:proofErr w:type="spellStart"/>
      <w:r w:rsidR="009A506F">
        <w:rPr>
          <w:lang w:val="en-US"/>
        </w:rPr>
        <w:t>phytogenics</w:t>
      </w:r>
      <w:proofErr w:type="spellEnd"/>
      <w:r w:rsidR="00ED730F">
        <w:rPr>
          <w:lang w:val="en-US"/>
        </w:rPr>
        <w:t xml:space="preserve">, when used in combination. </w:t>
      </w:r>
      <w:r>
        <w:rPr>
          <w:lang w:val="en-US"/>
        </w:rPr>
        <w:t xml:space="preserve">For the </w:t>
      </w:r>
      <w:r w:rsidRPr="000907C6">
        <w:rPr>
          <w:i/>
          <w:lang w:val="en-US"/>
        </w:rPr>
        <w:t>in vitro</w:t>
      </w:r>
      <w:r>
        <w:rPr>
          <w:lang w:val="en-US"/>
        </w:rPr>
        <w:t xml:space="preserve"> study, </w:t>
      </w:r>
      <w:r w:rsidR="002D1654">
        <w:rPr>
          <w:lang w:val="en-US"/>
        </w:rPr>
        <w:t>17</w:t>
      </w:r>
      <w:r w:rsidR="00ED730F">
        <w:rPr>
          <w:lang w:val="en-US"/>
        </w:rPr>
        <w:t xml:space="preserve"> veterinary antibiotics, representative of the most prescribed antibiotic compound classes in Germany, </w:t>
      </w:r>
      <w:r w:rsidR="002D1654">
        <w:rPr>
          <w:lang w:val="en-US"/>
        </w:rPr>
        <w:t xml:space="preserve">and 3 </w:t>
      </w:r>
      <w:r>
        <w:rPr>
          <w:lang w:val="en-US"/>
        </w:rPr>
        <w:t xml:space="preserve">different </w:t>
      </w:r>
      <w:r w:rsidR="00287C77">
        <w:rPr>
          <w:lang w:val="en-US"/>
        </w:rPr>
        <w:t>SPC combinations</w:t>
      </w:r>
      <w:r>
        <w:rPr>
          <w:lang w:val="en-US"/>
        </w:rPr>
        <w:t xml:space="preserve"> with a defined content of </w:t>
      </w:r>
      <w:r w:rsidR="009A506F">
        <w:rPr>
          <w:lang w:val="en-US"/>
        </w:rPr>
        <w:t xml:space="preserve">active ingredients </w:t>
      </w:r>
      <w:r w:rsidR="00173EDB">
        <w:rPr>
          <w:lang w:val="en-US"/>
        </w:rPr>
        <w:t xml:space="preserve">were utilized in checkerboard </w:t>
      </w:r>
      <w:r w:rsidR="002D1654">
        <w:rPr>
          <w:lang w:val="en-US"/>
        </w:rPr>
        <w:t>experiments</w:t>
      </w:r>
      <w:r>
        <w:rPr>
          <w:lang w:val="en-US"/>
        </w:rPr>
        <w:t>.</w:t>
      </w:r>
      <w:r w:rsidR="00ED730F">
        <w:rPr>
          <w:lang w:val="en-US"/>
        </w:rPr>
        <w:t xml:space="preserve"> </w:t>
      </w:r>
      <w:r w:rsidR="0092500F">
        <w:rPr>
          <w:lang w:val="en-US"/>
        </w:rPr>
        <w:t>O</w:t>
      </w:r>
      <w:r w:rsidR="00A239A5">
        <w:rPr>
          <w:lang w:val="en-US"/>
        </w:rPr>
        <w:t xml:space="preserve">ur </w:t>
      </w:r>
      <w:r w:rsidR="00A239A5" w:rsidRPr="000907C6">
        <w:rPr>
          <w:i/>
          <w:lang w:val="en-US"/>
        </w:rPr>
        <w:t>in vitro</w:t>
      </w:r>
      <w:r w:rsidR="00A239A5">
        <w:rPr>
          <w:lang w:val="en-US"/>
        </w:rPr>
        <w:t xml:space="preserve"> studies demonstrate</w:t>
      </w:r>
      <w:r w:rsidR="0092500F">
        <w:rPr>
          <w:lang w:val="en-US"/>
        </w:rPr>
        <w:t xml:space="preserve"> that </w:t>
      </w:r>
      <w:r w:rsidR="002D1654">
        <w:rPr>
          <w:lang w:val="en-US"/>
        </w:rPr>
        <w:t>a</w:t>
      </w:r>
      <w:r>
        <w:rPr>
          <w:lang w:val="en-US"/>
        </w:rPr>
        <w:t xml:space="preserve"> proportion</w:t>
      </w:r>
      <w:r w:rsidR="0092500F">
        <w:rPr>
          <w:lang w:val="en-US"/>
        </w:rPr>
        <w:t xml:space="preserve"> </w:t>
      </w:r>
      <w:r>
        <w:rPr>
          <w:lang w:val="en-US"/>
        </w:rPr>
        <w:t>of the tested</w:t>
      </w:r>
      <w:r w:rsidR="0092500F">
        <w:rPr>
          <w:lang w:val="en-US"/>
        </w:rPr>
        <w:t xml:space="preserve"> veterinary antibiotics</w:t>
      </w:r>
      <w:r w:rsidR="00C8412A">
        <w:rPr>
          <w:lang w:val="en-US"/>
        </w:rPr>
        <w:t xml:space="preserve"> are </w:t>
      </w:r>
      <w:r w:rsidR="0092500F">
        <w:rPr>
          <w:lang w:val="en-US"/>
        </w:rPr>
        <w:t>influenced in their antimicrobial efficacy, when used in combination with</w:t>
      </w:r>
      <w:r w:rsidR="00287C77">
        <w:rPr>
          <w:lang w:val="en-US"/>
        </w:rPr>
        <w:t xml:space="preserve"> such </w:t>
      </w:r>
      <w:r w:rsidR="00001EA3">
        <w:rPr>
          <w:lang w:val="en-US"/>
        </w:rPr>
        <w:t>compositions</w:t>
      </w:r>
      <w:r w:rsidR="00287C77">
        <w:rPr>
          <w:lang w:val="en-US"/>
        </w:rPr>
        <w:t xml:space="preserve">. </w:t>
      </w:r>
      <w:r>
        <w:rPr>
          <w:lang w:val="en-US"/>
        </w:rPr>
        <w:t>Depending on the bacterial species investigated,</w:t>
      </w:r>
      <w:r w:rsidR="0092500F">
        <w:rPr>
          <w:lang w:val="en-US"/>
        </w:rPr>
        <w:t xml:space="preserve"> we identified</w:t>
      </w:r>
      <w:r w:rsidR="00C8412A">
        <w:rPr>
          <w:lang w:val="en-US"/>
        </w:rPr>
        <w:t xml:space="preserve"> a number of</w:t>
      </w:r>
      <w:r w:rsidR="0092500F">
        <w:rPr>
          <w:lang w:val="en-US"/>
        </w:rPr>
        <w:t xml:space="preserve"> combinations with additive to synergistic efficacy </w:t>
      </w:r>
      <w:r w:rsidR="00CB51B1">
        <w:rPr>
          <w:lang w:val="en-US"/>
        </w:rPr>
        <w:t>but no</w:t>
      </w:r>
      <w:r w:rsidR="0092500F">
        <w:rPr>
          <w:lang w:val="en-US"/>
        </w:rPr>
        <w:t xml:space="preserve"> antagonistic effects.</w:t>
      </w:r>
      <w:r w:rsidR="00C8412A">
        <w:rPr>
          <w:lang w:val="en-US"/>
        </w:rPr>
        <w:t xml:space="preserve"> </w:t>
      </w:r>
      <w:r>
        <w:rPr>
          <w:lang w:val="en-US"/>
        </w:rPr>
        <w:t>To conclude</w:t>
      </w:r>
      <w:r w:rsidR="00173EDB">
        <w:rPr>
          <w:lang w:val="en-US"/>
        </w:rPr>
        <w:t>,</w:t>
      </w:r>
      <w:r>
        <w:rPr>
          <w:lang w:val="en-US"/>
        </w:rPr>
        <w:t xml:space="preserve"> our study adds</w:t>
      </w:r>
      <w:r w:rsidR="00173EDB">
        <w:rPr>
          <w:lang w:val="en-US"/>
        </w:rPr>
        <w:t xml:space="preserve"> evidence </w:t>
      </w:r>
      <w:r w:rsidR="00287C77">
        <w:rPr>
          <w:lang w:val="en-US"/>
        </w:rPr>
        <w:t xml:space="preserve">for yet non-detected antibiotic/SPC </w:t>
      </w:r>
      <w:r w:rsidR="00173EDB">
        <w:rPr>
          <w:lang w:val="en-US"/>
        </w:rPr>
        <w:t>combinations with a potential beneficial use</w:t>
      </w:r>
      <w:r w:rsidR="008C4308" w:rsidRPr="008C4308">
        <w:rPr>
          <w:lang w:val="en-US"/>
        </w:rPr>
        <w:t xml:space="preserve"> </w:t>
      </w:r>
      <w:r w:rsidR="008C4308">
        <w:rPr>
          <w:lang w:val="en-US"/>
        </w:rPr>
        <w:t>in animals</w:t>
      </w:r>
      <w:r w:rsidR="00173EDB">
        <w:rPr>
          <w:lang w:val="en-US"/>
        </w:rPr>
        <w:t xml:space="preserve">, when applied together. The data may help </w:t>
      </w:r>
      <w:r w:rsidR="00001EA3">
        <w:rPr>
          <w:lang w:val="en-US"/>
        </w:rPr>
        <w:t>in consideration of</w:t>
      </w:r>
      <w:r w:rsidR="00173EDB">
        <w:rPr>
          <w:lang w:val="en-US"/>
        </w:rPr>
        <w:t xml:space="preserve"> combinations that are not attenuating the efficacy of either product applied. To approve, how well these </w:t>
      </w:r>
      <w:r w:rsidR="00173EDB" w:rsidRPr="000907C6">
        <w:rPr>
          <w:i/>
          <w:lang w:val="en-US"/>
        </w:rPr>
        <w:t>in vitro</w:t>
      </w:r>
      <w:r w:rsidR="00173EDB">
        <w:rPr>
          <w:lang w:val="en-US"/>
        </w:rPr>
        <w:t xml:space="preserve"> findings translate into practice, these  results require further confirmation under </w:t>
      </w:r>
      <w:r w:rsidR="00173EDB" w:rsidRPr="000907C6">
        <w:rPr>
          <w:i/>
          <w:lang w:val="en-US"/>
        </w:rPr>
        <w:t>in vivo</w:t>
      </w:r>
      <w:r w:rsidR="00173EDB">
        <w:rPr>
          <w:lang w:val="en-US"/>
        </w:rPr>
        <w:t xml:space="preserve"> conditions.</w:t>
      </w:r>
    </w:p>
    <w:p w:rsidR="00D2749D" w:rsidRDefault="00D2749D" w:rsidP="00556C85">
      <w:pPr>
        <w:spacing w:line="240" w:lineRule="auto"/>
        <w:contextualSpacing/>
        <w:jc w:val="both"/>
        <w:rPr>
          <w:i/>
          <w:lang w:val="en-US"/>
        </w:rPr>
      </w:pPr>
    </w:p>
    <w:p w:rsidR="00D2749D" w:rsidRDefault="00D2749D" w:rsidP="00556C85">
      <w:pPr>
        <w:spacing w:line="240" w:lineRule="auto"/>
        <w:contextualSpacing/>
        <w:jc w:val="both"/>
        <w:rPr>
          <w:lang w:val="en-US"/>
        </w:rPr>
      </w:pPr>
    </w:p>
    <w:p w:rsidR="0092500F" w:rsidRDefault="0092500F" w:rsidP="00B5362B">
      <w:pPr>
        <w:rPr>
          <w:lang w:val="en-US"/>
        </w:rPr>
      </w:pPr>
      <w:bookmarkStart w:id="0" w:name="_GoBack"/>
      <w:bookmarkEnd w:id="0"/>
    </w:p>
    <w:p w:rsidR="00B5362B" w:rsidRPr="00B5362B" w:rsidRDefault="00B5362B">
      <w:pPr>
        <w:rPr>
          <w:lang w:val="en-US"/>
        </w:rPr>
      </w:pPr>
    </w:p>
    <w:sectPr w:rsidR="00B5362B" w:rsidRPr="00B536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62B"/>
    <w:rsid w:val="00001EA3"/>
    <w:rsid w:val="000907C6"/>
    <w:rsid w:val="00092A93"/>
    <w:rsid w:val="000A6E80"/>
    <w:rsid w:val="0016347D"/>
    <w:rsid w:val="00173EDB"/>
    <w:rsid w:val="001D46AB"/>
    <w:rsid w:val="0023542E"/>
    <w:rsid w:val="00287C77"/>
    <w:rsid w:val="002D1654"/>
    <w:rsid w:val="00482259"/>
    <w:rsid w:val="0052369A"/>
    <w:rsid w:val="00543ACA"/>
    <w:rsid w:val="00556C85"/>
    <w:rsid w:val="005B2939"/>
    <w:rsid w:val="00600A1E"/>
    <w:rsid w:val="0072755A"/>
    <w:rsid w:val="00746CE5"/>
    <w:rsid w:val="00750999"/>
    <w:rsid w:val="007E6D2E"/>
    <w:rsid w:val="008C4308"/>
    <w:rsid w:val="00915855"/>
    <w:rsid w:val="0092500F"/>
    <w:rsid w:val="009A506F"/>
    <w:rsid w:val="00A239A5"/>
    <w:rsid w:val="00AB315E"/>
    <w:rsid w:val="00AD2DD7"/>
    <w:rsid w:val="00B5362B"/>
    <w:rsid w:val="00C1255D"/>
    <w:rsid w:val="00C44739"/>
    <w:rsid w:val="00C8412A"/>
    <w:rsid w:val="00CB51B1"/>
    <w:rsid w:val="00CD2693"/>
    <w:rsid w:val="00D2749D"/>
    <w:rsid w:val="00EA0667"/>
    <w:rsid w:val="00EA7680"/>
    <w:rsid w:val="00ED730F"/>
    <w:rsid w:val="00F63843"/>
    <w:rsid w:val="00FF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133D7"/>
  <w15:chartTrackingRefBased/>
  <w15:docId w15:val="{8C775123-D1AE-4261-A387-E0C85F2C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CB51B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B51B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B51B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B51B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B51B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5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5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Thilo Borchardt</dc:creator>
  <cp:keywords/>
  <dc:description/>
  <cp:lastModifiedBy>Thilo Borchardt</cp:lastModifiedBy>
  <cp:revision>3</cp:revision>
  <dcterms:created xsi:type="dcterms:W3CDTF">2017-11-27T08:35:00Z</dcterms:created>
  <dcterms:modified xsi:type="dcterms:W3CDTF">2017-11-27T09:06:00Z</dcterms:modified>
</cp:coreProperties>
</file>