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84" w:rsidRPr="00666E3F" w:rsidRDefault="008756D5" w:rsidP="00F31E8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EFFECT OF ZINC OXIDE SOURCES AND DOSES ON </w:t>
      </w:r>
      <w:r w:rsidRPr="0078348B">
        <w:rPr>
          <w:rFonts w:ascii="Times New Roman" w:hAnsi="Times New Roman" w:cs="Times New Roman"/>
          <w:b/>
          <w:i/>
          <w:sz w:val="20"/>
          <w:szCs w:val="20"/>
        </w:rPr>
        <w:t>C. PERFRINGENS</w:t>
      </w:r>
      <w:r>
        <w:rPr>
          <w:rFonts w:ascii="Times New Roman" w:hAnsi="Times New Roman" w:cs="Times New Roman"/>
          <w:b/>
          <w:sz w:val="20"/>
          <w:szCs w:val="20"/>
        </w:rPr>
        <w:t>-CHALLENGED BROILERS</w:t>
      </w:r>
    </w:p>
    <w:p w:rsidR="00F31E84" w:rsidRPr="00145296" w:rsidRDefault="00C977AE" w:rsidP="00F31E84">
      <w:pPr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  <w:r w:rsidRPr="008756D5">
        <w:rPr>
          <w:rFonts w:ascii="Times New Roman" w:hAnsi="Times New Roman" w:cs="Times New Roman"/>
          <w:sz w:val="20"/>
          <w:szCs w:val="20"/>
          <w:u w:val="single"/>
          <w:lang w:val="pt-BR"/>
        </w:rPr>
        <w:t>Roméo</w:t>
      </w:r>
      <w:r w:rsidR="00F31E84" w:rsidRPr="008756D5">
        <w:rPr>
          <w:rFonts w:ascii="Times New Roman" w:hAnsi="Times New Roman" w:cs="Times New Roman"/>
          <w:sz w:val="20"/>
          <w:szCs w:val="20"/>
          <w:u w:val="single"/>
          <w:lang w:val="pt-BR"/>
        </w:rPr>
        <w:t xml:space="preserve">, </w:t>
      </w:r>
      <w:r w:rsidRPr="008756D5">
        <w:rPr>
          <w:rFonts w:ascii="Times New Roman" w:hAnsi="Times New Roman" w:cs="Times New Roman"/>
          <w:sz w:val="20"/>
          <w:szCs w:val="20"/>
          <w:u w:val="single"/>
          <w:lang w:val="pt-BR"/>
        </w:rPr>
        <w:t>A</w:t>
      </w:r>
      <w:r w:rsidR="00F31E84">
        <w:rPr>
          <w:rFonts w:ascii="Times New Roman" w:hAnsi="Times New Roman" w:cs="Times New Roman"/>
          <w:sz w:val="20"/>
          <w:szCs w:val="20"/>
          <w:lang w:val="pt-BR"/>
        </w:rPr>
        <w:t>.</w:t>
      </w:r>
      <w:r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1</w:t>
      </w:r>
      <w:r w:rsidR="00F31E84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</w:t>
      </w:r>
      <w:r w:rsidR="00F31E84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 w:rsidR="00145296" w:rsidRPr="00C977AE">
        <w:rPr>
          <w:rFonts w:ascii="Times New Roman" w:hAnsi="Times New Roman" w:cs="Times New Roman"/>
          <w:sz w:val="20"/>
          <w:szCs w:val="20"/>
          <w:lang w:val="pt-BR"/>
        </w:rPr>
        <w:t>Durosoy S.</w:t>
      </w:r>
      <w:r w:rsidR="00145296" w:rsidRPr="00C977AE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1</w:t>
      </w:r>
      <w:r w:rsidRPr="00C977AE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8756D5">
        <w:rPr>
          <w:rFonts w:ascii="Times New Roman" w:hAnsi="Times New Roman" w:cs="Times New Roman"/>
          <w:sz w:val="20"/>
          <w:szCs w:val="20"/>
          <w:lang w:val="pt-BR"/>
        </w:rPr>
        <w:t xml:space="preserve">and </w:t>
      </w:r>
      <w:r w:rsidR="008756D5" w:rsidRPr="00C977AE">
        <w:rPr>
          <w:rFonts w:ascii="Times New Roman" w:hAnsi="Times New Roman" w:cs="Times New Roman"/>
          <w:sz w:val="20"/>
          <w:szCs w:val="20"/>
          <w:lang w:val="pt-BR"/>
        </w:rPr>
        <w:t>Srinongkote</w:t>
      </w:r>
      <w:r w:rsidR="008756D5">
        <w:rPr>
          <w:rFonts w:ascii="Times New Roman" w:hAnsi="Times New Roman" w:cs="Times New Roman"/>
          <w:sz w:val="20"/>
          <w:szCs w:val="20"/>
          <w:lang w:val="pt-BR"/>
        </w:rPr>
        <w:t>, S.</w:t>
      </w:r>
      <w:r w:rsidR="008756D5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2</w:t>
      </w:r>
    </w:p>
    <w:p w:rsidR="00F31E84" w:rsidRPr="008756D5" w:rsidRDefault="00F31E84" w:rsidP="00F31E8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756D5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="008756D5" w:rsidRPr="008756D5">
        <w:rPr>
          <w:rFonts w:ascii="Times New Roman" w:hAnsi="Times New Roman" w:cs="Times New Roman"/>
          <w:i/>
          <w:sz w:val="20"/>
          <w:szCs w:val="20"/>
        </w:rPr>
        <w:t>Animine</w:t>
      </w:r>
      <w:r w:rsidRPr="008756D5">
        <w:rPr>
          <w:rFonts w:ascii="Times New Roman" w:hAnsi="Times New Roman" w:cs="Times New Roman"/>
          <w:i/>
          <w:sz w:val="20"/>
          <w:szCs w:val="20"/>
        </w:rPr>
        <w:t xml:space="preserve">, France; </w:t>
      </w:r>
    </w:p>
    <w:p w:rsidR="00947501" w:rsidRPr="008756D5" w:rsidRDefault="00947501" w:rsidP="00F31E8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F31E84" w:rsidRDefault="00F31E84" w:rsidP="00C977A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977AE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2</w:t>
      </w:r>
      <w:r w:rsidR="00C977AE" w:rsidRPr="00C977AE">
        <w:rPr>
          <w:rFonts w:ascii="Times New Roman" w:hAnsi="Times New Roman" w:cs="Times New Roman"/>
          <w:i/>
          <w:sz w:val="20"/>
          <w:szCs w:val="20"/>
          <w:lang w:val="en-GB"/>
        </w:rPr>
        <w:t>Animal Research Consultant (ARC), Thailand</w:t>
      </w:r>
      <w:r w:rsidR="008756D5">
        <w:rPr>
          <w:rFonts w:ascii="Times New Roman" w:hAnsi="Times New Roman" w:cs="Times New Roman"/>
          <w:i/>
          <w:sz w:val="20"/>
          <w:szCs w:val="20"/>
          <w:lang w:val="en-GB"/>
        </w:rPr>
        <w:t>;</w:t>
      </w:r>
    </w:p>
    <w:p w:rsidR="00C977AE" w:rsidRPr="00C977AE" w:rsidRDefault="00C977AE" w:rsidP="00C977A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F31E84" w:rsidRPr="00F31E84" w:rsidRDefault="0012797C" w:rsidP="00F31E8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pt-BR"/>
        </w:rPr>
      </w:pPr>
      <w:hyperlink r:id="rId5" w:history="1">
        <w:r w:rsidR="00C977AE" w:rsidRPr="00FF6E84">
          <w:rPr>
            <w:rStyle w:val="Lienhypertexte"/>
            <w:rFonts w:ascii="Times New Roman" w:hAnsi="Times New Roman" w:cs="Times New Roman"/>
            <w:i/>
            <w:sz w:val="20"/>
            <w:szCs w:val="20"/>
            <w:lang w:val="pt-BR"/>
          </w:rPr>
          <w:t>*aromeo@animine.eu</w:t>
        </w:r>
      </w:hyperlink>
    </w:p>
    <w:p w:rsidR="00F31E84" w:rsidRPr="00F31E84" w:rsidRDefault="00F31E84" w:rsidP="00F31E84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pt-BR"/>
        </w:rPr>
      </w:pPr>
    </w:p>
    <w:p w:rsidR="00C977AE" w:rsidRDefault="009A4575" w:rsidP="00174700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>Necrotic enteritis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 xml:space="preserve"> (NE)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 xml:space="preserve"> is a main concern for poultry producers, but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ome feed additives can mitigate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its severity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This experiment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compared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the effects of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two zinc oxide (ZnO) sources on </w:t>
      </w:r>
      <w:r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C. perfringens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-challenged broilers. At the beginning of the trial, 384 male broilers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(Ross 308) were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assigned to 4 treatment groups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 experimental diets were supplemented with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standard ZnO (45 ppm of Zn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) or </w:t>
      </w:r>
      <w:r w:rsidR="000C683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potentiated ZnO source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HiZox</w:t>
      </w:r>
      <w:proofErr w:type="spellEnd"/>
      <w:r w:rsidR="0078348B" w:rsidRP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perscript"/>
        </w:rPr>
        <w:t>®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0C683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Animine;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45, 75 or 105 ppm of Zn)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Birds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 all groups were orally inoculated with inoculum of mixed </w:t>
      </w:r>
      <w:proofErr w:type="spellStart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Eimeria</w:t>
      </w:r>
      <w:proofErr w:type="spellEnd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tenella</w:t>
      </w:r>
      <w:proofErr w:type="spellEnd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Eimeria</w:t>
      </w:r>
      <w:proofErr w:type="spellEnd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 maxima 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and </w:t>
      </w:r>
      <w:proofErr w:type="spellStart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Eimeria</w:t>
      </w:r>
      <w:proofErr w:type="spellEnd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acervulina</w:t>
      </w:r>
      <w:proofErr w:type="spellEnd"/>
      <w:r w:rsidR="00C977AE"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on day 9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</w:t>
      </w:r>
      <w:r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 day</w:t>
      </w:r>
      <w:r w:rsidR="0012797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</w:t>
      </w:r>
      <w:bookmarkStart w:id="0" w:name="_GoBack"/>
      <w:bookmarkEnd w:id="0"/>
      <w:r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14,</w:t>
      </w:r>
      <w:r w:rsidR="007623C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15, 16, they were given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A4575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C. perfringens </w:t>
      </w:r>
      <w:r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Type </w:t>
      </w:r>
      <w:proofErr w:type="gramStart"/>
      <w:r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proofErr w:type="gramEnd"/>
      <w:r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inoculum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by </w:t>
      </w:r>
      <w:proofErr w:type="spellStart"/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intracrop</w:t>
      </w:r>
      <w:proofErr w:type="spellEnd"/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administration</w:t>
      </w:r>
      <w:r w:rsidR="00BB665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B</w:t>
      </w:r>
      <w:r w:rsidR="00D93CA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odyweights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(BW)</w:t>
      </w:r>
      <w:r w:rsidR="00D93CA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 feed intake were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measured for each growing phase. On day 20,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intestinal sample were collected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for NE lesion scoring</w:t>
      </w:r>
      <w:r w:rsidR="00D93CA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intestinal morphology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 </w:t>
      </w:r>
      <w:r w:rsidR="00C977AE" w:rsidRPr="00D93CAA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C. perfringens</w:t>
      </w:r>
      <w:r w:rsidR="00C977AE" w:rsidRPr="00C97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count</w:t>
      </w:r>
      <w:r w:rsidR="00D93CA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 overall bird performance 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showed that birds fed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 potentiated ZnO source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tended to have higher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BW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gain and lower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feed conversion ratio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than birds fed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45 ppm zinc from standard ZnO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The NE lesion score and </w:t>
      </w:r>
      <w:r w:rsidRPr="0078348B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C. perfringens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count were lower in birds fed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 potentiated ZnO source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as compared those fed diet with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standard 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ZnO. 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Vill</w:t>
      </w:r>
      <w:r w:rsidR="00867CF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us to crypt ratio wa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 improved in group</w:t>
      </w:r>
      <w:r w:rsidR="00867CF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</w:t>
      </w:r>
      <w:r w:rsidR="007834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fed the potentiated ZnO source, numerically (45 ppm of Zn) or significantly (75 ppm of Zn, 105 ppm of Zn). 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Higher level of added Zn over the 45 ppm by HiZox supplementation could show further reduction in NE lesion score and </w:t>
      </w:r>
      <w:r w:rsidRPr="0078348B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C. perfringens</w:t>
      </w:r>
      <w:r w:rsidRPr="009A457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count.</w:t>
      </w:r>
    </w:p>
    <w:p w:rsidR="00174700" w:rsidRDefault="00174700" w:rsidP="00174700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F31E84" w:rsidRDefault="00F31E84" w:rsidP="00F31E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words: Zinc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oxide, </w:t>
      </w:r>
      <w:r w:rsidR="00B10CDF">
        <w:rPr>
          <w:rFonts w:ascii="Times New Roman" w:hAnsi="Times New Roman" w:cs="Times New Roman"/>
          <w:sz w:val="20"/>
          <w:szCs w:val="20"/>
        </w:rPr>
        <w:t>nec</w:t>
      </w:r>
      <w:r w:rsidR="00C977AE">
        <w:rPr>
          <w:rFonts w:ascii="Times New Roman" w:hAnsi="Times New Roman" w:cs="Times New Roman"/>
          <w:sz w:val="20"/>
          <w:szCs w:val="20"/>
        </w:rPr>
        <w:t>rotic enteritis, gut</w:t>
      </w:r>
      <w:proofErr w:type="gramEnd"/>
      <w:r w:rsidR="00C977AE">
        <w:rPr>
          <w:rFonts w:ascii="Times New Roman" w:hAnsi="Times New Roman" w:cs="Times New Roman"/>
          <w:sz w:val="20"/>
          <w:szCs w:val="20"/>
        </w:rPr>
        <w:t xml:space="preserve"> health</w:t>
      </w:r>
    </w:p>
    <w:p w:rsidR="00F31E84" w:rsidRDefault="00F31E84" w:rsidP="00F31E84"/>
    <w:p w:rsidR="00E31FDA" w:rsidRDefault="00E31FDA"/>
    <w:sectPr w:rsidR="00E31F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84"/>
    <w:rsid w:val="0005063C"/>
    <w:rsid w:val="000C6838"/>
    <w:rsid w:val="0012797C"/>
    <w:rsid w:val="00145296"/>
    <w:rsid w:val="00174700"/>
    <w:rsid w:val="00241430"/>
    <w:rsid w:val="00272410"/>
    <w:rsid w:val="00515C62"/>
    <w:rsid w:val="00666E3F"/>
    <w:rsid w:val="007623CF"/>
    <w:rsid w:val="0078348B"/>
    <w:rsid w:val="00867CF0"/>
    <w:rsid w:val="008756D5"/>
    <w:rsid w:val="00947501"/>
    <w:rsid w:val="009A4575"/>
    <w:rsid w:val="00B10CDF"/>
    <w:rsid w:val="00BB6657"/>
    <w:rsid w:val="00C72831"/>
    <w:rsid w:val="00C977AE"/>
    <w:rsid w:val="00D24480"/>
    <w:rsid w:val="00D71915"/>
    <w:rsid w:val="00D93CAA"/>
    <w:rsid w:val="00E31FDA"/>
    <w:rsid w:val="00EF0D8D"/>
    <w:rsid w:val="00F31E84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84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1E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84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1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*aromeo@animine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ANIMINE</cp:lastModifiedBy>
  <cp:revision>12</cp:revision>
  <cp:lastPrinted>2017-11-29T14:12:00Z</cp:lastPrinted>
  <dcterms:created xsi:type="dcterms:W3CDTF">2017-11-28T16:04:00Z</dcterms:created>
  <dcterms:modified xsi:type="dcterms:W3CDTF">2017-11-29T14:35:00Z</dcterms:modified>
</cp:coreProperties>
</file>