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BE" w:rsidRPr="00365ECD" w:rsidRDefault="002141BE" w:rsidP="002141BE">
      <w:pPr>
        <w:jc w:val="center"/>
        <w:rPr>
          <w:rFonts w:ascii="Verdana" w:hAnsi="Verdana"/>
          <w:b/>
          <w:caps/>
          <w:sz w:val="32"/>
          <w:szCs w:val="32"/>
          <w:lang w:val="en-GB"/>
        </w:rPr>
      </w:pPr>
      <w:r w:rsidRPr="00365ECD">
        <w:rPr>
          <w:rFonts w:ascii="Verdana" w:hAnsi="Verdana"/>
          <w:b/>
          <w:caps/>
          <w:sz w:val="32"/>
          <w:szCs w:val="32"/>
          <w:lang w:val="en-GB"/>
        </w:rPr>
        <w:t>Coccidiosis Prevention</w:t>
      </w:r>
      <w:r w:rsidR="004D4BAA" w:rsidRPr="00365ECD">
        <w:rPr>
          <w:rFonts w:ascii="Verdana" w:hAnsi="Verdana"/>
          <w:b/>
          <w:caps/>
          <w:sz w:val="32"/>
          <w:szCs w:val="32"/>
          <w:lang w:val="en-GB"/>
        </w:rPr>
        <w:t xml:space="preserve"> </w:t>
      </w:r>
      <w:r w:rsidRPr="00365ECD">
        <w:rPr>
          <w:rFonts w:ascii="Verdana" w:hAnsi="Verdana"/>
          <w:b/>
          <w:caps/>
          <w:sz w:val="32"/>
          <w:szCs w:val="32"/>
          <w:lang w:val="en-GB"/>
        </w:rPr>
        <w:t xml:space="preserve">Strategy in Broiler </w:t>
      </w:r>
      <w:bookmarkStart w:id="0" w:name="_GoBack"/>
      <w:r w:rsidRPr="00365ECD">
        <w:rPr>
          <w:rFonts w:ascii="Verdana" w:hAnsi="Verdana"/>
          <w:b/>
          <w:caps/>
          <w:sz w:val="32"/>
          <w:szCs w:val="32"/>
          <w:lang w:val="en-GB"/>
        </w:rPr>
        <w:t>Chickens Using a Multi-Strains Yeast Fractions Product</w:t>
      </w:r>
    </w:p>
    <w:bookmarkEnd w:id="0"/>
    <w:p w:rsidR="002141BE" w:rsidRPr="004D4BAA" w:rsidRDefault="002141BE" w:rsidP="004D4BAA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4D4BAA">
        <w:rPr>
          <w:rFonts w:asciiTheme="majorBidi" w:hAnsiTheme="majorBidi" w:cstheme="majorBidi"/>
          <w:sz w:val="28"/>
          <w:szCs w:val="28"/>
          <w:lang w:val="en-US"/>
        </w:rPr>
        <w:t>Awaad M. H. H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1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., A.A. Nada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, M. A. Elmenawey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3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, F. F. Mohamed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1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, E. A.Morsy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1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, H. M. Salem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1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4D4BA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A. S.Hafez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, E. Chevaux</w:t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4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 xml:space="preserve"> and </w:t>
      </w:r>
      <w:r w:rsidRPr="00365ECD">
        <w:rPr>
          <w:rFonts w:asciiTheme="majorBidi" w:hAnsiTheme="majorBidi" w:cstheme="majorBidi"/>
          <w:sz w:val="28"/>
          <w:szCs w:val="28"/>
          <w:u w:val="single"/>
          <w:lang w:val="en-US"/>
        </w:rPr>
        <w:t>V. Demey</w:t>
      </w:r>
      <w:r w:rsidRPr="00365ECD">
        <w:rPr>
          <w:rFonts w:asciiTheme="majorBidi" w:hAnsiTheme="majorBidi" w:cstheme="majorBidi"/>
          <w:sz w:val="28"/>
          <w:szCs w:val="28"/>
          <w:u w:val="single"/>
          <w:vertAlign w:val="superscript"/>
          <w:lang w:val="en-US"/>
        </w:rPr>
        <w:t>4</w:t>
      </w:r>
    </w:p>
    <w:p w:rsidR="002141BE" w:rsidRPr="004D4BAA" w:rsidRDefault="002141BE" w:rsidP="00F848C5">
      <w:pPr>
        <w:rPr>
          <w:rFonts w:asciiTheme="majorBidi" w:hAnsiTheme="majorBidi" w:cstheme="majorBidi"/>
          <w:sz w:val="28"/>
          <w:szCs w:val="28"/>
          <w:lang w:val="en-US"/>
        </w:rPr>
      </w:pP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1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Faculty of Veterinary Medicine, Cairo University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br/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2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 xml:space="preserve">Animal Health Research Institute, 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US"/>
        </w:rPr>
        <w:t>Dokki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US"/>
        </w:rPr>
        <w:t>, Cairo, Egypt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br/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3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>Faculty of Agriculture, Cairo University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br/>
      </w:r>
      <w:r w:rsidRPr="004D4BAA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4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 xml:space="preserve"> Lallemand SAS, 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US"/>
        </w:rPr>
        <w:t>Blagnac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US"/>
        </w:rPr>
        <w:t>, France</w:t>
      </w:r>
    </w:p>
    <w:p w:rsidR="002141BE" w:rsidRPr="004D4BAA" w:rsidRDefault="002141BE" w:rsidP="002141BE">
      <w:pPr>
        <w:jc w:val="both"/>
        <w:rPr>
          <w:rFonts w:asciiTheme="majorBidi" w:hAnsiTheme="majorBidi" w:cstheme="majorBidi"/>
          <w:sz w:val="28"/>
          <w:szCs w:val="28"/>
          <w:lang w:val="en-GB"/>
        </w:rPr>
      </w:pPr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Coccidiosis represents a serious disease for the poultry industry resulting in annual global economic losses. Recently a need for alternative coccidiosis control strategies has emerged. </w:t>
      </w:r>
      <w:r w:rsidRPr="004D4BAA">
        <w:rPr>
          <w:rFonts w:asciiTheme="majorBidi" w:hAnsiTheme="majorBidi" w:cstheme="majorBidi"/>
          <w:sz w:val="28"/>
          <w:szCs w:val="28"/>
          <w:lang w:val="en-US"/>
        </w:rPr>
        <w:t xml:space="preserve">The present investigation was dedicated to evaluate and compare a multi-strains yeast fractions product (MSYF) and 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US"/>
        </w:rPr>
        <w:t>Salinomycin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US"/>
        </w:rPr>
        <w:t xml:space="preserve"> on </w:t>
      </w:r>
      <w:proofErr w:type="gramStart"/>
      <w:r w:rsidRPr="004D4BAA">
        <w:rPr>
          <w:rFonts w:asciiTheme="majorBidi" w:hAnsiTheme="majorBidi" w:cstheme="majorBidi"/>
          <w:sz w:val="28"/>
          <w:szCs w:val="28"/>
          <w:lang w:val="en-US"/>
        </w:rPr>
        <w:t>broiler</w:t>
      </w:r>
      <w:proofErr w:type="gramEnd"/>
      <w:r w:rsidRPr="004D4BAA">
        <w:rPr>
          <w:rFonts w:asciiTheme="majorBidi" w:hAnsiTheme="majorBidi" w:cstheme="majorBidi"/>
          <w:sz w:val="28"/>
          <w:szCs w:val="28"/>
          <w:lang w:val="en-US"/>
        </w:rPr>
        <w:t xml:space="preserve"> performance and coccidiosis control under experimental settings. Five groups (each 4</w:t>
      </w:r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 replicate pens of 25 broilers), were studied from one day of age up to slaughter (42 days).Chickens were fed </w:t>
      </w:r>
      <w:r w:rsidRPr="004D4BAA">
        <w:rPr>
          <w:rFonts w:asciiTheme="majorBidi" w:hAnsiTheme="majorBidi" w:cstheme="majorBidi"/>
          <w:i/>
          <w:sz w:val="28"/>
          <w:szCs w:val="28"/>
          <w:lang w:val="en-GB"/>
        </w:rPr>
        <w:t>ad libitum</w:t>
      </w:r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 a 3-phase mash broiler diet. Diets of groups 1 and 2 were supplemented with the MYSF (400 and 800 ppm respectively). Group3 (S) received 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GB"/>
        </w:rPr>
        <w:t>Salinomycin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 (66 ppm). At day 14, animals of groups 1-4were challenged with </w:t>
      </w:r>
      <w:proofErr w:type="spellStart"/>
      <w:r w:rsidRPr="004D4BAA">
        <w:rPr>
          <w:rFonts w:asciiTheme="majorBidi" w:hAnsiTheme="majorBidi" w:cstheme="majorBidi"/>
          <w:i/>
          <w:sz w:val="28"/>
          <w:szCs w:val="28"/>
          <w:lang w:val="en-GB"/>
        </w:rPr>
        <w:t>Eimeria</w:t>
      </w:r>
      <w:proofErr w:type="spellEnd"/>
      <w:r w:rsidRPr="004D4BAA">
        <w:rPr>
          <w:rFonts w:asciiTheme="majorBidi" w:hAnsiTheme="majorBidi" w:cstheme="majorBidi"/>
          <w:i/>
          <w:sz w:val="28"/>
          <w:szCs w:val="28"/>
          <w:lang w:val="en-GB"/>
        </w:rPr>
        <w:t xml:space="preserve"> spp</w:t>
      </w:r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. (3 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GB"/>
        </w:rPr>
        <w:t>seeder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 birds/replicate). Group 4 and 5 served as challenged Control (CC) and non-challenged Control (NC) respectively. Production performance and oocyst shedding (OPG) were monitored along the trial. The </w:t>
      </w:r>
      <w:proofErr w:type="spellStart"/>
      <w:r w:rsidRPr="004D4BAA">
        <w:rPr>
          <w:rFonts w:asciiTheme="majorBidi" w:hAnsiTheme="majorBidi" w:cstheme="majorBidi"/>
          <w:i/>
          <w:sz w:val="28"/>
          <w:szCs w:val="28"/>
          <w:lang w:val="en-GB"/>
        </w:rPr>
        <w:t>Eimeria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 challenge significantly decreased growth of </w:t>
      </w:r>
      <w:proofErr w:type="gramStart"/>
      <w:r w:rsidRPr="004D4BAA">
        <w:rPr>
          <w:rFonts w:asciiTheme="majorBidi" w:hAnsiTheme="majorBidi" w:cstheme="majorBidi"/>
          <w:sz w:val="28"/>
          <w:szCs w:val="28"/>
          <w:lang w:val="en-GB"/>
        </w:rPr>
        <w:t>CC(</w:t>
      </w:r>
      <w:proofErr w:type="gramEnd"/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P&lt;0.05), whereas all supplemented groups performed equal to (MYSF 400) or better (MYSF 800 and S) than NC (P&lt;0.05). FCR was significantly degraded by the challenge (P&lt;0.05). All supplemented groups (1-3) had similar FCR compared to NC. OPG peaked 7 days post infection (P&lt;0.05). NC showed lowest shedding, followed by MYSF 800 and S, the latter being not statistically significantly different from NC. Furthermore, MSYF enhanced resistance </w:t>
      </w:r>
      <w:proofErr w:type="gramStart"/>
      <w:r w:rsidRPr="004D4BAA">
        <w:rPr>
          <w:rFonts w:asciiTheme="majorBidi" w:hAnsiTheme="majorBidi" w:cstheme="majorBidi"/>
          <w:sz w:val="28"/>
          <w:szCs w:val="28"/>
          <w:lang w:val="en-GB"/>
        </w:rPr>
        <w:t>to  </w:t>
      </w:r>
      <w:proofErr w:type="spellStart"/>
      <w:r w:rsidRPr="004D4BAA">
        <w:rPr>
          <w:rFonts w:asciiTheme="majorBidi" w:hAnsiTheme="majorBidi" w:cstheme="majorBidi"/>
          <w:i/>
          <w:sz w:val="28"/>
          <w:szCs w:val="28"/>
          <w:lang w:val="en-GB"/>
        </w:rPr>
        <w:t>Eimeria</w:t>
      </w:r>
      <w:proofErr w:type="spellEnd"/>
      <w:proofErr w:type="gramEnd"/>
      <w:r w:rsidRPr="004D4BAA">
        <w:rPr>
          <w:rFonts w:asciiTheme="majorBidi" w:hAnsiTheme="majorBidi" w:cstheme="majorBidi"/>
          <w:i/>
          <w:sz w:val="28"/>
          <w:szCs w:val="28"/>
          <w:lang w:val="en-GB"/>
        </w:rPr>
        <w:t xml:space="preserve"> spp</w:t>
      </w:r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. infection by lowering macroscopic and microscopic lesion scores. Results suggest that MSYF is a promising alternative for coccidiosis prevention having similar of better results than a traditional 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GB"/>
        </w:rPr>
        <w:t>coccidiostat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GB"/>
        </w:rPr>
        <w:t xml:space="preserve"> (</w:t>
      </w:r>
      <w:proofErr w:type="spellStart"/>
      <w:r w:rsidRPr="004D4BAA">
        <w:rPr>
          <w:rFonts w:asciiTheme="majorBidi" w:hAnsiTheme="majorBidi" w:cstheme="majorBidi"/>
          <w:sz w:val="28"/>
          <w:szCs w:val="28"/>
          <w:lang w:val="en-GB"/>
        </w:rPr>
        <w:t>Salinomycin</w:t>
      </w:r>
      <w:proofErr w:type="spellEnd"/>
      <w:r w:rsidRPr="004D4BAA">
        <w:rPr>
          <w:rFonts w:asciiTheme="majorBidi" w:hAnsiTheme="majorBidi" w:cstheme="majorBidi"/>
          <w:sz w:val="28"/>
          <w:szCs w:val="28"/>
          <w:lang w:val="en-GB"/>
        </w:rPr>
        <w:t>).</w:t>
      </w:r>
    </w:p>
    <w:p w:rsidR="00B20F09" w:rsidRPr="002141BE" w:rsidRDefault="00B20F09">
      <w:pPr>
        <w:rPr>
          <w:lang w:val="en-GB"/>
        </w:rPr>
      </w:pPr>
    </w:p>
    <w:sectPr w:rsidR="00B20F09" w:rsidRPr="002141BE" w:rsidSect="00B2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BE"/>
    <w:rsid w:val="002141BE"/>
    <w:rsid w:val="00365ECD"/>
    <w:rsid w:val="004D4BAA"/>
    <w:rsid w:val="00AB2708"/>
    <w:rsid w:val="00B20F09"/>
    <w:rsid w:val="00E84C2F"/>
    <w:rsid w:val="00F67725"/>
    <w:rsid w:val="00F8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1782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Dr.Awaad</dc:creator>
  <cp:lastModifiedBy>Demey Vanessa</cp:lastModifiedBy>
  <cp:revision>2</cp:revision>
  <dcterms:created xsi:type="dcterms:W3CDTF">2017-10-30T09:21:00Z</dcterms:created>
  <dcterms:modified xsi:type="dcterms:W3CDTF">2017-10-30T09:21:00Z</dcterms:modified>
</cp:coreProperties>
</file>