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9BB" w:rsidRDefault="00625C88" w:rsidP="00625C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COMPARISON OF THE EFFICACY OF DIFFERENT ANTICOCCIDIAL PRODUCTS </w:t>
      </w:r>
      <w:r w:rsidRPr="006A5941">
        <w:rPr>
          <w:sz w:val="24"/>
          <w:szCs w:val="24"/>
          <w:lang w:val="en-US"/>
        </w:rPr>
        <w:t>IN CONTROLLING COCCIDIOSIS IN BROILERS UNDER EXPERIMENTAL CONDITIONS</w:t>
      </w:r>
      <w:r w:rsidRPr="00B13477">
        <w:rPr>
          <w:sz w:val="24"/>
          <w:szCs w:val="24"/>
          <w:lang w:val="en-US"/>
        </w:rPr>
        <w:t xml:space="preserve"> </w:t>
      </w:r>
    </w:p>
    <w:p w:rsidR="00625C88" w:rsidRDefault="00625C88" w:rsidP="00625C88">
      <w:pPr>
        <w:rPr>
          <w:sz w:val="24"/>
          <w:szCs w:val="24"/>
        </w:rPr>
      </w:pPr>
      <w:r w:rsidRPr="00625C88">
        <w:rPr>
          <w:sz w:val="24"/>
          <w:szCs w:val="24"/>
          <w:u w:val="single"/>
        </w:rPr>
        <w:t>Ben Dehaeck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</w:t>
      </w:r>
      <w:r w:rsidRPr="00625C88">
        <w:rPr>
          <w:sz w:val="24"/>
          <w:szCs w:val="24"/>
        </w:rPr>
        <w:t>aja Marien</w:t>
      </w:r>
      <w:r w:rsidRPr="00625C88">
        <w:rPr>
          <w:sz w:val="24"/>
          <w:szCs w:val="24"/>
          <w:vertAlign w:val="superscript"/>
        </w:rPr>
        <w:t>1</w:t>
      </w:r>
      <w:r w:rsidRPr="00625C88">
        <w:rPr>
          <w:sz w:val="24"/>
          <w:szCs w:val="24"/>
        </w:rPr>
        <w:t>, Monita Vereecken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r w:rsidRPr="00625C88">
        <w:rPr>
          <w:sz w:val="24"/>
          <w:szCs w:val="24"/>
        </w:rPr>
        <w:t>Mieke Geerinckx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Koen De Gussem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</w:t>
      </w:r>
    </w:p>
    <w:p w:rsidR="00625C88" w:rsidRPr="00625C88" w:rsidRDefault="00625C88" w:rsidP="00625C88">
      <w:pPr>
        <w:rPr>
          <w:sz w:val="24"/>
          <w:szCs w:val="24"/>
          <w:lang w:val="en-GB"/>
        </w:rPr>
      </w:pPr>
      <w:r w:rsidRPr="00625C88">
        <w:rPr>
          <w:sz w:val="24"/>
          <w:szCs w:val="24"/>
          <w:vertAlign w:val="superscript"/>
          <w:lang w:val="en-GB"/>
        </w:rPr>
        <w:t>1</w:t>
      </w:r>
      <w:r w:rsidRPr="00625C88">
        <w:rPr>
          <w:sz w:val="24"/>
          <w:szCs w:val="24"/>
          <w:lang w:val="en-GB"/>
        </w:rPr>
        <w:t>Huvepharma NV, Antwerp, Belgium</w:t>
      </w:r>
    </w:p>
    <w:p w:rsidR="001766EF" w:rsidRDefault="00625C88" w:rsidP="001766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9B7F8A" w:rsidRPr="006A49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anticoccidial </w:t>
      </w:r>
      <w:r w:rsidR="009B7F8A" w:rsidRPr="006A49CE">
        <w:rPr>
          <w:sz w:val="24"/>
          <w:szCs w:val="24"/>
          <w:lang w:val="en-US"/>
        </w:rPr>
        <w:t xml:space="preserve">efficacy of </w:t>
      </w:r>
      <w:proofErr w:type="gramStart"/>
      <w:r w:rsidR="006A49CE" w:rsidRPr="006A49CE">
        <w:rPr>
          <w:sz w:val="24"/>
          <w:szCs w:val="24"/>
          <w:lang w:val="en-US"/>
        </w:rPr>
        <w:t>5</w:t>
      </w:r>
      <w:proofErr w:type="gramEnd"/>
      <w:r w:rsidR="006A49CE" w:rsidRPr="006A49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coccidiostats </w:t>
      </w:r>
      <w:r w:rsidR="009B7F8A" w:rsidRPr="006A49CE">
        <w:rPr>
          <w:sz w:val="24"/>
          <w:szCs w:val="24"/>
          <w:lang w:val="en-US"/>
        </w:rPr>
        <w:t>was evaluated</w:t>
      </w:r>
      <w:r w:rsidRPr="00625C8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a battery cage trial</w:t>
      </w:r>
      <w:r w:rsidR="009B7F8A" w:rsidRPr="00F06D2F">
        <w:rPr>
          <w:sz w:val="24"/>
          <w:szCs w:val="24"/>
          <w:lang w:val="en-US"/>
        </w:rPr>
        <w:t xml:space="preserve"> </w:t>
      </w:r>
      <w:r w:rsidR="009F6FFB">
        <w:rPr>
          <w:sz w:val="24"/>
          <w:szCs w:val="24"/>
          <w:lang w:val="en-US"/>
        </w:rPr>
        <w:t xml:space="preserve">(broilers, </w:t>
      </w:r>
      <w:r w:rsidR="00072E20">
        <w:rPr>
          <w:sz w:val="24"/>
          <w:szCs w:val="24"/>
          <w:lang w:val="en-US"/>
        </w:rPr>
        <w:t>Ross308 males).</w:t>
      </w:r>
    </w:p>
    <w:p w:rsidR="001766EF" w:rsidRPr="006A49CE" w:rsidRDefault="001766EF" w:rsidP="001766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bookmarkStart w:id="0" w:name="_GoBack"/>
      <w:bookmarkEnd w:id="0"/>
      <w:r w:rsidRPr="00F06D2F">
        <w:rPr>
          <w:sz w:val="24"/>
          <w:szCs w:val="24"/>
          <w:lang w:val="en-US"/>
        </w:rPr>
        <w:t>ody weight (BW),</w:t>
      </w:r>
      <w:r w:rsidRPr="007E7E58">
        <w:rPr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feed conversion </w:t>
      </w:r>
      <w:r w:rsidR="009F6FFB">
        <w:rPr>
          <w:sz w:val="24"/>
          <w:szCs w:val="24"/>
          <w:lang w:val="en-US"/>
        </w:rPr>
        <w:t>rate</w:t>
      </w:r>
      <w:r>
        <w:rPr>
          <w:sz w:val="24"/>
          <w:szCs w:val="24"/>
          <w:lang w:val="en-US"/>
        </w:rPr>
        <w:t xml:space="preserve"> (FCR) and</w:t>
      </w:r>
      <w:r w:rsidRPr="00F06D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total mean lesion score (TMLS; </w:t>
      </w:r>
      <w:r w:rsidR="009F6FFB">
        <w:rPr>
          <w:sz w:val="24"/>
          <w:szCs w:val="24"/>
          <w:lang w:val="en-US"/>
        </w:rPr>
        <w:t>Johnson&amp;Reid</w:t>
      </w:r>
      <w:proofErr w:type="gramStart"/>
      <w:r w:rsidR="009F6FFB">
        <w:rPr>
          <w:sz w:val="24"/>
          <w:szCs w:val="24"/>
          <w:lang w:val="en-US"/>
        </w:rPr>
        <w:t>,1970</w:t>
      </w:r>
      <w:proofErr w:type="gramEnd"/>
      <w:r w:rsidR="009F6FF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were </w:t>
      </w:r>
      <w:r w:rsidRPr="00F06D2F">
        <w:rPr>
          <w:sz w:val="24"/>
          <w:szCs w:val="24"/>
          <w:lang w:val="en-US"/>
        </w:rPr>
        <w:t>compared to an infected untreated control (IUC) and an unin</w:t>
      </w:r>
      <w:r w:rsidR="009F6FFB">
        <w:rPr>
          <w:sz w:val="24"/>
          <w:szCs w:val="24"/>
          <w:lang w:val="en-US"/>
        </w:rPr>
        <w:t>fected untreated control (UUC).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6"/>
        <w:gridCol w:w="1327"/>
        <w:gridCol w:w="1589"/>
        <w:gridCol w:w="1887"/>
      </w:tblGrid>
      <w:tr w:rsidR="002E01F5" w:rsidRPr="002E01F5" w:rsidTr="002E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2E01F5" w:rsidP="00625C88">
            <w:pPr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Group</w:t>
            </w:r>
            <w:r w:rsidR="001829BD">
              <w:rPr>
                <w:sz w:val="20"/>
                <w:szCs w:val="24"/>
                <w:lang w:val="en-US"/>
              </w:rPr>
              <w:t>s*</w:t>
            </w:r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Brand name</w:t>
            </w:r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Dosage applied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Registered dosage</w:t>
            </w:r>
          </w:p>
        </w:tc>
      </w:tr>
      <w:tr w:rsidR="002E01F5" w:rsidRPr="002E01F5" w:rsidTr="002E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2E01F5" w:rsidP="002E01F5">
            <w:pPr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UUC</w:t>
            </w:r>
          </w:p>
        </w:tc>
        <w:tc>
          <w:tcPr>
            <w:tcW w:w="1327" w:type="dxa"/>
          </w:tcPr>
          <w:p w:rsidR="002E01F5" w:rsidRPr="002E01F5" w:rsidRDefault="009F6FFB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  <w:tc>
          <w:tcPr>
            <w:tcW w:w="1589" w:type="dxa"/>
          </w:tcPr>
          <w:p w:rsidR="002E01F5" w:rsidRPr="002E01F5" w:rsidRDefault="009F6FFB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  <w:tc>
          <w:tcPr>
            <w:tcW w:w="1887" w:type="dxa"/>
          </w:tcPr>
          <w:p w:rsidR="002E01F5" w:rsidRPr="002E01F5" w:rsidRDefault="009F6FFB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</w:tr>
      <w:tr w:rsidR="002E01F5" w:rsidRPr="002E01F5" w:rsidTr="002E01F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2E01F5" w:rsidP="002E01F5">
            <w:pPr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IUC</w:t>
            </w:r>
          </w:p>
        </w:tc>
        <w:tc>
          <w:tcPr>
            <w:tcW w:w="1327" w:type="dxa"/>
          </w:tcPr>
          <w:p w:rsidR="002E01F5" w:rsidRPr="002E01F5" w:rsidRDefault="009F6FFB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  <w:tc>
          <w:tcPr>
            <w:tcW w:w="1589" w:type="dxa"/>
          </w:tcPr>
          <w:p w:rsidR="002E01F5" w:rsidRPr="002E01F5" w:rsidRDefault="009F6FFB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  <w:tc>
          <w:tcPr>
            <w:tcW w:w="1887" w:type="dxa"/>
          </w:tcPr>
          <w:p w:rsidR="002E01F5" w:rsidRPr="002E01F5" w:rsidRDefault="009F6FFB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</w:tr>
      <w:tr w:rsidR="002E01F5" w:rsidRPr="002E01F5" w:rsidTr="002E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9F6FFB" w:rsidP="002E01F5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N</w:t>
            </w:r>
            <w:r w:rsidR="002E01F5" w:rsidRPr="002E01F5">
              <w:rPr>
                <w:sz w:val="20"/>
                <w:szCs w:val="24"/>
                <w:lang w:val="en-US"/>
              </w:rPr>
              <w:t>arasin</w:t>
            </w:r>
            <w:proofErr w:type="spellEnd"/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Monteban</w:t>
            </w:r>
            <w:proofErr w:type="spellEnd"/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 ppm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60-70 ppm</w:t>
            </w:r>
          </w:p>
        </w:tc>
      </w:tr>
      <w:tr w:rsidR="002E01F5" w:rsidRPr="002E01F5" w:rsidTr="002E01F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9F6FFB" w:rsidP="002E01F5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</w:t>
            </w:r>
            <w:r w:rsidR="002E01F5" w:rsidRPr="002E01F5">
              <w:rPr>
                <w:sz w:val="20"/>
                <w:szCs w:val="24"/>
                <w:lang w:val="en-US"/>
              </w:rPr>
              <w:t>onensin</w:t>
            </w:r>
            <w:proofErr w:type="spellEnd"/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Coxidin</w:t>
            </w:r>
            <w:proofErr w:type="spellEnd"/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 ppm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100-125 ppm</w:t>
            </w:r>
          </w:p>
        </w:tc>
      </w:tr>
      <w:tr w:rsidR="002E01F5" w:rsidRPr="002E01F5" w:rsidTr="002E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9F6FFB" w:rsidP="002E01F5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N</w:t>
            </w:r>
            <w:r w:rsidR="002E01F5" w:rsidRPr="002E01F5">
              <w:rPr>
                <w:sz w:val="20"/>
                <w:szCs w:val="24"/>
                <w:lang w:val="en-US"/>
              </w:rPr>
              <w:t>icarbazin</w:t>
            </w:r>
            <w:proofErr w:type="spellEnd"/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Koffogran</w:t>
            </w:r>
            <w:proofErr w:type="spellEnd"/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 ppm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125 ppm</w:t>
            </w:r>
          </w:p>
        </w:tc>
      </w:tr>
      <w:tr w:rsidR="002E01F5" w:rsidRPr="002E01F5" w:rsidTr="002E01F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9F6FFB" w:rsidP="002E01F5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N</w:t>
            </w:r>
            <w:r w:rsidR="002E01F5" w:rsidRPr="002E01F5">
              <w:rPr>
                <w:sz w:val="20"/>
                <w:szCs w:val="24"/>
                <w:lang w:val="en-US"/>
              </w:rPr>
              <w:t>arasin</w:t>
            </w:r>
            <w:proofErr w:type="spellEnd"/>
            <w:r w:rsidR="002E01F5" w:rsidRPr="002E01F5">
              <w:rPr>
                <w:sz w:val="20"/>
                <w:szCs w:val="24"/>
                <w:lang w:val="en-US"/>
              </w:rPr>
              <w:t>/</w:t>
            </w:r>
            <w:proofErr w:type="spellStart"/>
            <w:r w:rsidR="002E01F5" w:rsidRPr="002E01F5">
              <w:rPr>
                <w:sz w:val="20"/>
                <w:szCs w:val="24"/>
                <w:lang w:val="en-US"/>
              </w:rPr>
              <w:t>nicarbazin</w:t>
            </w:r>
            <w:proofErr w:type="spellEnd"/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Maxiban</w:t>
            </w:r>
            <w:proofErr w:type="spellEnd"/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40/40 ppm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40/40 ppm</w:t>
            </w:r>
          </w:p>
        </w:tc>
      </w:tr>
      <w:tr w:rsidR="002E01F5" w:rsidRPr="002E01F5" w:rsidTr="002E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E01F5" w:rsidRPr="002E01F5" w:rsidRDefault="009F6FFB" w:rsidP="00625C88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</w:t>
            </w:r>
            <w:r w:rsidR="002E01F5" w:rsidRPr="002E01F5">
              <w:rPr>
                <w:sz w:val="20"/>
                <w:szCs w:val="24"/>
                <w:lang w:val="en-US"/>
              </w:rPr>
              <w:t>onensin</w:t>
            </w:r>
            <w:proofErr w:type="spellEnd"/>
            <w:r w:rsidR="002E01F5" w:rsidRPr="002E01F5">
              <w:rPr>
                <w:sz w:val="20"/>
                <w:szCs w:val="24"/>
                <w:lang w:val="en-US"/>
              </w:rPr>
              <w:t>/</w:t>
            </w:r>
            <w:proofErr w:type="spellStart"/>
            <w:r w:rsidR="002E01F5" w:rsidRPr="002E01F5">
              <w:rPr>
                <w:sz w:val="20"/>
                <w:szCs w:val="24"/>
                <w:lang w:val="en-US"/>
              </w:rPr>
              <w:t>nicarbazin</w:t>
            </w:r>
            <w:proofErr w:type="spellEnd"/>
          </w:p>
        </w:tc>
        <w:tc>
          <w:tcPr>
            <w:tcW w:w="132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Monimax</w:t>
            </w:r>
          </w:p>
        </w:tc>
        <w:tc>
          <w:tcPr>
            <w:tcW w:w="1589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40/40 ppm</w:t>
            </w:r>
          </w:p>
        </w:tc>
        <w:tc>
          <w:tcPr>
            <w:tcW w:w="1887" w:type="dxa"/>
          </w:tcPr>
          <w:p w:rsidR="002E01F5" w:rsidRPr="002E01F5" w:rsidRDefault="002E01F5" w:rsidP="0062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40/40 – 50/50 ppm</w:t>
            </w:r>
          </w:p>
        </w:tc>
      </w:tr>
    </w:tbl>
    <w:p w:rsidR="001829BD" w:rsidRDefault="001829BD" w:rsidP="001829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072E20">
        <w:rPr>
          <w:sz w:val="24"/>
          <w:szCs w:val="24"/>
          <w:lang w:val="en-US"/>
        </w:rPr>
        <w:t xml:space="preserve"> </w:t>
      </w:r>
      <w:r w:rsidR="009F6FFB">
        <w:rPr>
          <w:sz w:val="24"/>
          <w:szCs w:val="24"/>
          <w:lang w:val="en-US"/>
        </w:rPr>
        <w:t>Challenge</w:t>
      </w:r>
      <w:r w:rsidR="00072E20">
        <w:rPr>
          <w:sz w:val="24"/>
          <w:szCs w:val="24"/>
          <w:lang w:val="en-US"/>
        </w:rPr>
        <w:t xml:space="preserve"> at day (D</w:t>
      </w:r>
      <w:proofErr w:type="gramStart"/>
      <w:r w:rsidR="00072E20">
        <w:rPr>
          <w:sz w:val="24"/>
          <w:szCs w:val="24"/>
          <w:lang w:val="en-US"/>
        </w:rPr>
        <w:t>)17</w:t>
      </w:r>
      <w:proofErr w:type="gramEnd"/>
      <w:r w:rsidR="00072E20">
        <w:rPr>
          <w:sz w:val="24"/>
          <w:szCs w:val="24"/>
          <w:lang w:val="en-US"/>
        </w:rPr>
        <w:t xml:space="preserve"> with mixed </w:t>
      </w:r>
      <w:proofErr w:type="spellStart"/>
      <w:r w:rsidR="00072E20" w:rsidRPr="00F06D2F">
        <w:rPr>
          <w:i/>
          <w:sz w:val="24"/>
          <w:szCs w:val="24"/>
          <w:lang w:val="en-US"/>
        </w:rPr>
        <w:t>Eimeria</w:t>
      </w:r>
      <w:proofErr w:type="spellEnd"/>
      <w:r w:rsidR="00072E20">
        <w:rPr>
          <w:sz w:val="24"/>
          <w:szCs w:val="24"/>
          <w:lang w:val="en-US"/>
        </w:rPr>
        <w:t xml:space="preserve"> isolate (gavage); Products in feed from D13-D23 (end study).</w:t>
      </w:r>
    </w:p>
    <w:p w:rsidR="00545855" w:rsidRDefault="001766EF" w:rsidP="00625C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</w:t>
      </w:r>
      <w:proofErr w:type="spellStart"/>
      <w:r w:rsidR="009F6FFB" w:rsidRPr="002F107A">
        <w:rPr>
          <w:sz w:val="24"/>
          <w:szCs w:val="24"/>
          <w:lang w:val="en-US"/>
        </w:rPr>
        <w:t>monensin</w:t>
      </w:r>
      <w:proofErr w:type="spellEnd"/>
      <w:r w:rsidR="009F6FFB" w:rsidRPr="002F107A">
        <w:rPr>
          <w:sz w:val="24"/>
          <w:szCs w:val="24"/>
          <w:lang w:val="en-US"/>
        </w:rPr>
        <w:t>/</w:t>
      </w:r>
      <w:proofErr w:type="spellStart"/>
      <w:r w:rsidR="009F6FFB" w:rsidRPr="002F107A">
        <w:rPr>
          <w:sz w:val="24"/>
          <w:szCs w:val="24"/>
          <w:lang w:val="en-US"/>
        </w:rPr>
        <w:t>nicarbazin</w:t>
      </w:r>
      <w:proofErr w:type="spellEnd"/>
      <w:r w:rsidR="009F6FFB" w:rsidRPr="002F107A">
        <w:rPr>
          <w:sz w:val="24"/>
          <w:szCs w:val="24"/>
          <w:lang w:val="en-US"/>
        </w:rPr>
        <w:t xml:space="preserve"> (0.67)</w:t>
      </w:r>
      <w:r w:rsidR="006B066B">
        <w:rPr>
          <w:sz w:val="24"/>
          <w:szCs w:val="24"/>
          <w:lang w:val="en-US"/>
        </w:rPr>
        <w:t xml:space="preserve">, </w:t>
      </w:r>
      <w:proofErr w:type="spellStart"/>
      <w:r w:rsidR="006B066B" w:rsidRPr="002F107A">
        <w:rPr>
          <w:sz w:val="24"/>
          <w:szCs w:val="24"/>
          <w:lang w:val="en-US"/>
        </w:rPr>
        <w:t>narasin</w:t>
      </w:r>
      <w:proofErr w:type="spellEnd"/>
      <w:r w:rsidR="006B066B" w:rsidRPr="002F107A">
        <w:rPr>
          <w:sz w:val="24"/>
          <w:szCs w:val="24"/>
          <w:lang w:val="en-US"/>
        </w:rPr>
        <w:t>/</w:t>
      </w:r>
      <w:proofErr w:type="spellStart"/>
      <w:r w:rsidR="006B066B" w:rsidRPr="002F107A">
        <w:rPr>
          <w:sz w:val="24"/>
          <w:szCs w:val="24"/>
          <w:lang w:val="en-US"/>
        </w:rPr>
        <w:t>nicarbazin</w:t>
      </w:r>
      <w:proofErr w:type="spellEnd"/>
      <w:r w:rsidR="006B066B" w:rsidRPr="002F107A">
        <w:rPr>
          <w:sz w:val="24"/>
          <w:szCs w:val="24"/>
          <w:lang w:val="en-US"/>
        </w:rPr>
        <w:t xml:space="preserve"> (2.83) </w:t>
      </w:r>
      <w:r w:rsidR="006B066B">
        <w:rPr>
          <w:sz w:val="24"/>
          <w:szCs w:val="24"/>
          <w:lang w:val="en-US"/>
        </w:rPr>
        <w:t>and</w:t>
      </w:r>
      <w:r w:rsidR="009F6FFB" w:rsidRPr="002F107A">
        <w:rPr>
          <w:sz w:val="24"/>
          <w:szCs w:val="24"/>
          <w:lang w:val="en-US"/>
        </w:rPr>
        <w:t xml:space="preserve"> </w:t>
      </w:r>
      <w:proofErr w:type="spellStart"/>
      <w:r w:rsidR="00072E20">
        <w:rPr>
          <w:sz w:val="24"/>
          <w:szCs w:val="24"/>
          <w:lang w:val="en-US"/>
        </w:rPr>
        <w:t>n</w:t>
      </w:r>
      <w:r w:rsidR="00F06D2F" w:rsidRPr="002F107A">
        <w:rPr>
          <w:sz w:val="24"/>
          <w:szCs w:val="24"/>
          <w:lang w:val="en-US"/>
        </w:rPr>
        <w:t>icarbazin</w:t>
      </w:r>
      <w:proofErr w:type="spellEnd"/>
      <w:r w:rsidR="00F06D2F" w:rsidRPr="002F107A">
        <w:rPr>
          <w:sz w:val="24"/>
          <w:szCs w:val="24"/>
          <w:lang w:val="en-US"/>
        </w:rPr>
        <w:t xml:space="preserve"> </w:t>
      </w:r>
      <w:r w:rsidR="00DF6175" w:rsidRPr="002F107A">
        <w:rPr>
          <w:sz w:val="24"/>
          <w:szCs w:val="24"/>
          <w:lang w:val="en-US"/>
        </w:rPr>
        <w:t>(</w:t>
      </w:r>
      <w:r w:rsidR="006B066B">
        <w:rPr>
          <w:sz w:val="24"/>
          <w:szCs w:val="24"/>
          <w:lang w:val="en-US"/>
        </w:rPr>
        <w:t xml:space="preserve">3.33) </w:t>
      </w:r>
      <w:r w:rsidR="00DF6175" w:rsidRPr="002F107A">
        <w:rPr>
          <w:sz w:val="24"/>
          <w:szCs w:val="24"/>
          <w:lang w:val="en-US"/>
        </w:rPr>
        <w:t xml:space="preserve">were able </w:t>
      </w:r>
      <w:proofErr w:type="gramStart"/>
      <w:r w:rsidR="00DF6175" w:rsidRPr="002F107A">
        <w:rPr>
          <w:sz w:val="24"/>
          <w:szCs w:val="24"/>
          <w:lang w:val="en-US"/>
        </w:rPr>
        <w:t>to</w:t>
      </w:r>
      <w:r w:rsidR="00F06D2F" w:rsidRPr="002F107A">
        <w:rPr>
          <w:sz w:val="24"/>
          <w:szCs w:val="24"/>
          <w:lang w:val="en-US"/>
        </w:rPr>
        <w:t xml:space="preserve"> significant</w:t>
      </w:r>
      <w:r w:rsidR="00DF6175" w:rsidRPr="002F107A">
        <w:rPr>
          <w:sz w:val="24"/>
          <w:szCs w:val="24"/>
          <w:lang w:val="en-US"/>
        </w:rPr>
        <w:t>ly</w:t>
      </w:r>
      <w:r w:rsidR="00F06D2F" w:rsidRPr="002F107A">
        <w:rPr>
          <w:sz w:val="24"/>
          <w:szCs w:val="24"/>
          <w:lang w:val="en-US"/>
        </w:rPr>
        <w:t xml:space="preserve"> lower</w:t>
      </w:r>
      <w:proofErr w:type="gramEnd"/>
      <w:r w:rsidR="00F06D2F" w:rsidRPr="002F107A">
        <w:rPr>
          <w:sz w:val="24"/>
          <w:szCs w:val="24"/>
          <w:lang w:val="en-US"/>
        </w:rPr>
        <w:t xml:space="preserve"> </w:t>
      </w:r>
      <w:r w:rsidR="00395283">
        <w:rPr>
          <w:sz w:val="24"/>
          <w:szCs w:val="24"/>
          <w:lang w:val="en-US"/>
        </w:rPr>
        <w:t>TMLS</w:t>
      </w:r>
      <w:r w:rsidR="00F06D2F" w:rsidRPr="002F107A">
        <w:rPr>
          <w:sz w:val="24"/>
          <w:szCs w:val="24"/>
          <w:lang w:val="en-US"/>
        </w:rPr>
        <w:t xml:space="preserve"> </w:t>
      </w:r>
      <w:r w:rsidR="00DF6175" w:rsidRPr="002F107A">
        <w:rPr>
          <w:sz w:val="24"/>
          <w:szCs w:val="24"/>
          <w:lang w:val="en-US"/>
        </w:rPr>
        <w:t xml:space="preserve">in comparison with </w:t>
      </w:r>
      <w:r w:rsidR="00F06D2F" w:rsidRPr="002F107A">
        <w:rPr>
          <w:sz w:val="24"/>
          <w:szCs w:val="24"/>
          <w:lang w:val="en-US"/>
        </w:rPr>
        <w:t>IUC</w:t>
      </w:r>
      <w:r w:rsidR="001829BD">
        <w:rPr>
          <w:sz w:val="24"/>
          <w:szCs w:val="24"/>
          <w:lang w:val="en-US"/>
        </w:rPr>
        <w:t xml:space="preserve"> (4.69)</w:t>
      </w:r>
      <w:r w:rsidR="00DF6175" w:rsidRPr="002F107A">
        <w:rPr>
          <w:sz w:val="24"/>
          <w:szCs w:val="24"/>
          <w:lang w:val="en-US"/>
        </w:rPr>
        <w:t xml:space="preserve">. </w:t>
      </w:r>
      <w:r w:rsidR="00BF2A45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>treated</w:t>
      </w:r>
      <w:r w:rsidR="0016690C" w:rsidRPr="00545855">
        <w:rPr>
          <w:sz w:val="24"/>
          <w:szCs w:val="24"/>
          <w:lang w:val="en-US"/>
        </w:rPr>
        <w:t xml:space="preserve"> groups </w:t>
      </w:r>
      <w:r>
        <w:rPr>
          <w:sz w:val="24"/>
          <w:szCs w:val="24"/>
          <w:lang w:val="en-US"/>
        </w:rPr>
        <w:t xml:space="preserve">(except </w:t>
      </w:r>
      <w:proofErr w:type="spellStart"/>
      <w:r>
        <w:rPr>
          <w:sz w:val="24"/>
          <w:szCs w:val="24"/>
          <w:lang w:val="en-US"/>
        </w:rPr>
        <w:t>narasin</w:t>
      </w:r>
      <w:proofErr w:type="spellEnd"/>
      <w:r>
        <w:rPr>
          <w:sz w:val="24"/>
          <w:szCs w:val="24"/>
          <w:lang w:val="en-US"/>
        </w:rPr>
        <w:t xml:space="preserve">) </w:t>
      </w:r>
      <w:r w:rsidR="0016690C" w:rsidRPr="00545855">
        <w:rPr>
          <w:sz w:val="24"/>
          <w:szCs w:val="24"/>
          <w:lang w:val="en-US"/>
        </w:rPr>
        <w:t xml:space="preserve">had significantly higher BW </w:t>
      </w:r>
      <w:r w:rsidR="006B066B">
        <w:rPr>
          <w:sz w:val="24"/>
          <w:szCs w:val="24"/>
          <w:lang w:val="en-US"/>
        </w:rPr>
        <w:t>compared with</w:t>
      </w:r>
      <w:r w:rsidR="0016690C" w:rsidRPr="00545855">
        <w:rPr>
          <w:sz w:val="24"/>
          <w:szCs w:val="24"/>
          <w:lang w:val="en-US"/>
        </w:rPr>
        <w:t xml:space="preserve"> IUC</w:t>
      </w:r>
      <w:r w:rsidR="001829BD">
        <w:rPr>
          <w:sz w:val="24"/>
          <w:szCs w:val="24"/>
          <w:lang w:val="en-US"/>
        </w:rPr>
        <w:t>,</w:t>
      </w:r>
      <w:r w:rsidR="00BF2A45">
        <w:rPr>
          <w:sz w:val="24"/>
          <w:szCs w:val="24"/>
          <w:lang w:val="en-US"/>
        </w:rPr>
        <w:t xml:space="preserve"> </w:t>
      </w:r>
      <w:r w:rsidR="006B066B">
        <w:rPr>
          <w:sz w:val="24"/>
          <w:szCs w:val="24"/>
          <w:lang w:val="en-US"/>
        </w:rPr>
        <w:t xml:space="preserve">with </w:t>
      </w:r>
      <w:proofErr w:type="spellStart"/>
      <w:r w:rsidR="00545855" w:rsidRPr="00545855">
        <w:rPr>
          <w:sz w:val="24"/>
          <w:szCs w:val="24"/>
          <w:lang w:val="en-US"/>
        </w:rPr>
        <w:t>monensin</w:t>
      </w:r>
      <w:proofErr w:type="spellEnd"/>
      <w:r w:rsidR="00545855" w:rsidRPr="00545855">
        <w:rPr>
          <w:sz w:val="24"/>
          <w:szCs w:val="24"/>
          <w:lang w:val="en-US"/>
        </w:rPr>
        <w:t>/</w:t>
      </w:r>
      <w:proofErr w:type="spellStart"/>
      <w:r w:rsidR="00545855" w:rsidRPr="00545855">
        <w:rPr>
          <w:sz w:val="24"/>
          <w:szCs w:val="24"/>
          <w:lang w:val="en-US"/>
        </w:rPr>
        <w:t>nicarbazin</w:t>
      </w:r>
      <w:proofErr w:type="spellEnd"/>
      <w:r w:rsidR="00545855" w:rsidRPr="00545855">
        <w:rPr>
          <w:sz w:val="24"/>
          <w:szCs w:val="24"/>
          <w:lang w:val="en-US"/>
        </w:rPr>
        <w:t xml:space="preserve"> </w:t>
      </w:r>
      <w:r w:rsidR="006B066B">
        <w:rPr>
          <w:sz w:val="24"/>
          <w:szCs w:val="24"/>
          <w:lang w:val="en-US"/>
        </w:rPr>
        <w:t>having a</w:t>
      </w:r>
      <w:r w:rsidR="0016690C" w:rsidRPr="00545855">
        <w:rPr>
          <w:sz w:val="24"/>
          <w:szCs w:val="24"/>
          <w:lang w:val="en-US"/>
        </w:rPr>
        <w:t xml:space="preserve"> significantly higher BW</w:t>
      </w:r>
      <w:r w:rsidR="001829BD">
        <w:rPr>
          <w:sz w:val="24"/>
          <w:szCs w:val="24"/>
          <w:lang w:val="en-US"/>
        </w:rPr>
        <w:t xml:space="preserve"> in comparison </w:t>
      </w:r>
      <w:r w:rsidR="006B066B">
        <w:rPr>
          <w:sz w:val="24"/>
          <w:szCs w:val="24"/>
          <w:lang w:val="en-US"/>
        </w:rPr>
        <w:t>with</w:t>
      </w:r>
      <w:r w:rsidR="001829BD">
        <w:rPr>
          <w:sz w:val="24"/>
          <w:szCs w:val="24"/>
          <w:lang w:val="en-US"/>
        </w:rPr>
        <w:t xml:space="preserve"> the other</w:t>
      </w:r>
      <w:r w:rsidR="00072E20">
        <w:rPr>
          <w:sz w:val="24"/>
          <w:szCs w:val="24"/>
          <w:lang w:val="en-US"/>
        </w:rPr>
        <w:t>s</w:t>
      </w:r>
      <w:r w:rsidR="0016690C" w:rsidRPr="00545855">
        <w:rPr>
          <w:sz w:val="24"/>
          <w:szCs w:val="24"/>
          <w:lang w:val="en-US"/>
        </w:rPr>
        <w:t xml:space="preserve">. FCR </w:t>
      </w:r>
      <w:proofErr w:type="gramStart"/>
      <w:r w:rsidR="00545855" w:rsidRPr="00545855">
        <w:rPr>
          <w:sz w:val="24"/>
          <w:szCs w:val="24"/>
          <w:lang w:val="en-US"/>
        </w:rPr>
        <w:t>was significantly reduced</w:t>
      </w:r>
      <w:proofErr w:type="gramEnd"/>
      <w:r w:rsidR="00545855" w:rsidRPr="00545855">
        <w:rPr>
          <w:sz w:val="24"/>
          <w:szCs w:val="24"/>
          <w:lang w:val="en-US"/>
        </w:rPr>
        <w:t xml:space="preserve"> </w:t>
      </w:r>
      <w:r w:rsidR="0016690C" w:rsidRPr="00545855">
        <w:rPr>
          <w:sz w:val="24"/>
          <w:szCs w:val="24"/>
          <w:lang w:val="en-US"/>
        </w:rPr>
        <w:t xml:space="preserve">in </w:t>
      </w:r>
      <w:proofErr w:type="spellStart"/>
      <w:r w:rsidR="00545855" w:rsidRPr="00545855">
        <w:rPr>
          <w:sz w:val="24"/>
          <w:szCs w:val="24"/>
          <w:lang w:val="en-US"/>
        </w:rPr>
        <w:t>narasin</w:t>
      </w:r>
      <w:proofErr w:type="spellEnd"/>
      <w:r w:rsidR="00545855" w:rsidRPr="00545855">
        <w:rPr>
          <w:sz w:val="24"/>
          <w:szCs w:val="24"/>
          <w:lang w:val="en-US"/>
        </w:rPr>
        <w:t>/</w:t>
      </w:r>
      <w:proofErr w:type="spellStart"/>
      <w:r w:rsidR="00545855" w:rsidRPr="00545855">
        <w:rPr>
          <w:sz w:val="24"/>
          <w:szCs w:val="24"/>
          <w:lang w:val="en-US"/>
        </w:rPr>
        <w:t>nicarbazin</w:t>
      </w:r>
      <w:proofErr w:type="spellEnd"/>
      <w:r w:rsidR="00545855" w:rsidRPr="00545855">
        <w:rPr>
          <w:sz w:val="24"/>
          <w:szCs w:val="24"/>
          <w:lang w:val="en-US"/>
        </w:rPr>
        <w:t xml:space="preserve"> (1.58) and </w:t>
      </w:r>
      <w:proofErr w:type="spellStart"/>
      <w:r w:rsidR="00545855" w:rsidRPr="00545855">
        <w:rPr>
          <w:sz w:val="24"/>
          <w:szCs w:val="24"/>
          <w:lang w:val="en-US"/>
        </w:rPr>
        <w:t>mon</w:t>
      </w:r>
      <w:r w:rsidR="000A01CC">
        <w:rPr>
          <w:sz w:val="24"/>
          <w:szCs w:val="24"/>
          <w:lang w:val="en-US"/>
        </w:rPr>
        <w:t>ensin</w:t>
      </w:r>
      <w:proofErr w:type="spellEnd"/>
      <w:r w:rsidR="000A01CC">
        <w:rPr>
          <w:sz w:val="24"/>
          <w:szCs w:val="24"/>
          <w:lang w:val="en-US"/>
        </w:rPr>
        <w:t>/</w:t>
      </w:r>
      <w:proofErr w:type="spellStart"/>
      <w:r w:rsidR="000A01CC">
        <w:rPr>
          <w:sz w:val="24"/>
          <w:szCs w:val="24"/>
          <w:lang w:val="en-US"/>
        </w:rPr>
        <w:t>nicarbazin</w:t>
      </w:r>
      <w:proofErr w:type="spellEnd"/>
      <w:r w:rsidR="000A01CC">
        <w:rPr>
          <w:sz w:val="24"/>
          <w:szCs w:val="24"/>
          <w:lang w:val="en-US"/>
        </w:rPr>
        <w:t xml:space="preserve"> (1.53) groups</w:t>
      </w:r>
      <w:r w:rsidR="001829BD">
        <w:rPr>
          <w:sz w:val="24"/>
          <w:szCs w:val="24"/>
          <w:lang w:val="en-US"/>
        </w:rPr>
        <w:t xml:space="preserve"> </w:t>
      </w:r>
      <w:r w:rsidR="006B066B">
        <w:rPr>
          <w:sz w:val="24"/>
          <w:szCs w:val="24"/>
          <w:lang w:val="en-US"/>
        </w:rPr>
        <w:t>compared with</w:t>
      </w:r>
      <w:r w:rsidR="001829BD">
        <w:rPr>
          <w:sz w:val="24"/>
          <w:szCs w:val="24"/>
          <w:lang w:val="en-US"/>
        </w:rPr>
        <w:t xml:space="preserve"> IUC</w:t>
      </w:r>
      <w:r w:rsidR="000A01CC">
        <w:rPr>
          <w:sz w:val="24"/>
          <w:szCs w:val="24"/>
          <w:lang w:val="en-US"/>
        </w:rPr>
        <w:t>.</w:t>
      </w:r>
    </w:p>
    <w:p w:rsidR="0016690C" w:rsidRPr="00003DAA" w:rsidRDefault="001766EF" w:rsidP="00625C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Best</w:t>
      </w:r>
      <w:r w:rsidR="00003DAA" w:rsidRPr="00003DAA">
        <w:rPr>
          <w:sz w:val="24"/>
          <w:szCs w:val="24"/>
          <w:lang w:val="en-US"/>
        </w:rPr>
        <w:t xml:space="preserve"> results </w:t>
      </w:r>
      <w:proofErr w:type="gramStart"/>
      <w:r w:rsidR="00003DAA" w:rsidRPr="00003DAA">
        <w:rPr>
          <w:sz w:val="24"/>
          <w:szCs w:val="24"/>
          <w:lang w:val="en-US"/>
        </w:rPr>
        <w:t>were obtained</w:t>
      </w:r>
      <w:proofErr w:type="gramEnd"/>
      <w:r w:rsidR="00003DAA" w:rsidRPr="00003DAA">
        <w:rPr>
          <w:sz w:val="24"/>
          <w:szCs w:val="24"/>
          <w:lang w:val="en-US"/>
        </w:rPr>
        <w:t xml:space="preserve"> by</w:t>
      </w:r>
      <w:r w:rsidR="00545855" w:rsidRPr="00003DAA">
        <w:rPr>
          <w:sz w:val="24"/>
          <w:szCs w:val="24"/>
          <w:lang w:val="en-US"/>
        </w:rPr>
        <w:t xml:space="preserve"> </w:t>
      </w:r>
      <w:proofErr w:type="spellStart"/>
      <w:r w:rsidR="00545855" w:rsidRPr="00003DAA">
        <w:rPr>
          <w:sz w:val="24"/>
          <w:szCs w:val="24"/>
          <w:lang w:val="en-US"/>
        </w:rPr>
        <w:t>narasin</w:t>
      </w:r>
      <w:proofErr w:type="spellEnd"/>
      <w:r w:rsidR="00545855" w:rsidRPr="00003DAA">
        <w:rPr>
          <w:sz w:val="24"/>
          <w:szCs w:val="24"/>
          <w:lang w:val="en-US"/>
        </w:rPr>
        <w:t>/</w:t>
      </w:r>
      <w:proofErr w:type="spellStart"/>
      <w:r w:rsidR="00545855" w:rsidRPr="00003DAA">
        <w:rPr>
          <w:sz w:val="24"/>
          <w:szCs w:val="24"/>
          <w:lang w:val="en-US"/>
        </w:rPr>
        <w:t>nicarbazin</w:t>
      </w:r>
      <w:proofErr w:type="spellEnd"/>
      <w:r w:rsidR="00545855" w:rsidRPr="00003DAA">
        <w:rPr>
          <w:sz w:val="24"/>
          <w:szCs w:val="24"/>
          <w:lang w:val="en-US"/>
        </w:rPr>
        <w:t xml:space="preserve"> and</w:t>
      </w:r>
      <w:r w:rsidR="00003DAA" w:rsidRPr="00003DAA">
        <w:rPr>
          <w:sz w:val="24"/>
          <w:szCs w:val="24"/>
          <w:lang w:val="en-US"/>
        </w:rPr>
        <w:t xml:space="preserve"> </w:t>
      </w:r>
      <w:proofErr w:type="spellStart"/>
      <w:r w:rsidR="00003DAA" w:rsidRPr="00003DAA">
        <w:rPr>
          <w:sz w:val="24"/>
          <w:szCs w:val="24"/>
          <w:lang w:val="en-US"/>
        </w:rPr>
        <w:t>monensin</w:t>
      </w:r>
      <w:proofErr w:type="spellEnd"/>
      <w:r w:rsidR="00003DAA" w:rsidRPr="00003DAA">
        <w:rPr>
          <w:sz w:val="24"/>
          <w:szCs w:val="24"/>
          <w:lang w:val="en-US"/>
        </w:rPr>
        <w:t>/</w:t>
      </w:r>
      <w:proofErr w:type="spellStart"/>
      <w:r w:rsidR="00003DAA" w:rsidRPr="00003DAA">
        <w:rPr>
          <w:sz w:val="24"/>
          <w:szCs w:val="24"/>
          <w:lang w:val="en-US"/>
        </w:rPr>
        <w:t>nicarbazin</w:t>
      </w:r>
      <w:proofErr w:type="spellEnd"/>
      <w:r w:rsidR="00003DAA" w:rsidRPr="00003DAA">
        <w:rPr>
          <w:sz w:val="24"/>
          <w:szCs w:val="24"/>
          <w:lang w:val="en-US"/>
        </w:rPr>
        <w:t xml:space="preserve"> (</w:t>
      </w:r>
      <w:r w:rsidR="006B066B">
        <w:rPr>
          <w:sz w:val="24"/>
          <w:szCs w:val="24"/>
          <w:lang w:val="en-US"/>
        </w:rPr>
        <w:t>Monimax®), with Monimax® being significantly more efficacious</w:t>
      </w:r>
      <w:r w:rsidR="00003DAA" w:rsidRPr="00003DAA">
        <w:rPr>
          <w:sz w:val="24"/>
          <w:szCs w:val="24"/>
          <w:lang w:val="en-US"/>
        </w:rPr>
        <w:t xml:space="preserve">. </w:t>
      </w:r>
      <w:r w:rsidR="00072E20">
        <w:rPr>
          <w:sz w:val="24"/>
          <w:szCs w:val="24"/>
          <w:lang w:val="en-US"/>
        </w:rPr>
        <w:t xml:space="preserve">Lower results with the </w:t>
      </w:r>
      <w:r w:rsidR="006B066B">
        <w:rPr>
          <w:sz w:val="24"/>
          <w:szCs w:val="24"/>
          <w:lang w:val="en-US"/>
        </w:rPr>
        <w:t>non-combination</w:t>
      </w:r>
      <w:r w:rsidR="00072E20">
        <w:rPr>
          <w:sz w:val="24"/>
          <w:szCs w:val="24"/>
          <w:lang w:val="en-US"/>
        </w:rPr>
        <w:t xml:space="preserve"> products are </w:t>
      </w:r>
      <w:proofErr w:type="gramStart"/>
      <w:r w:rsidR="00072E20">
        <w:rPr>
          <w:sz w:val="24"/>
          <w:szCs w:val="24"/>
          <w:lang w:val="en-US"/>
        </w:rPr>
        <w:t>normal</w:t>
      </w:r>
      <w:proofErr w:type="gramEnd"/>
      <w:r w:rsidR="00072E20">
        <w:rPr>
          <w:sz w:val="24"/>
          <w:szCs w:val="24"/>
          <w:lang w:val="en-US"/>
        </w:rPr>
        <w:t xml:space="preserve"> as these products were included below registered dosages. </w:t>
      </w:r>
      <w:r w:rsidR="001829BD">
        <w:rPr>
          <w:sz w:val="24"/>
          <w:szCs w:val="24"/>
          <w:lang w:val="en-US"/>
        </w:rPr>
        <w:t>A</w:t>
      </w:r>
      <w:r w:rsidR="00190FB0">
        <w:rPr>
          <w:sz w:val="24"/>
          <w:szCs w:val="24"/>
          <w:lang w:val="en-US"/>
        </w:rPr>
        <w:t xml:space="preserve">ddition of </w:t>
      </w:r>
      <w:proofErr w:type="spellStart"/>
      <w:r w:rsidR="00190FB0">
        <w:rPr>
          <w:sz w:val="24"/>
          <w:szCs w:val="24"/>
          <w:lang w:val="en-US"/>
        </w:rPr>
        <w:t>narasin</w:t>
      </w:r>
      <w:proofErr w:type="spellEnd"/>
      <w:r w:rsidR="00190FB0">
        <w:rPr>
          <w:sz w:val="24"/>
          <w:szCs w:val="24"/>
          <w:lang w:val="en-US"/>
        </w:rPr>
        <w:t xml:space="preserve"> to </w:t>
      </w:r>
      <w:proofErr w:type="spellStart"/>
      <w:r w:rsidR="00190FB0">
        <w:rPr>
          <w:sz w:val="24"/>
          <w:szCs w:val="24"/>
          <w:lang w:val="en-US"/>
        </w:rPr>
        <w:t>nicarbazin</w:t>
      </w:r>
      <w:proofErr w:type="spellEnd"/>
      <w:r w:rsidR="00190FB0">
        <w:rPr>
          <w:sz w:val="24"/>
          <w:szCs w:val="24"/>
          <w:lang w:val="en-US"/>
        </w:rPr>
        <w:t xml:space="preserve"> did not result in significant improvement</w:t>
      </w:r>
      <w:r w:rsidR="005A4F78">
        <w:rPr>
          <w:sz w:val="24"/>
          <w:szCs w:val="24"/>
          <w:lang w:val="en-US"/>
        </w:rPr>
        <w:t>s</w:t>
      </w:r>
      <w:r w:rsidR="000C179F">
        <w:rPr>
          <w:sz w:val="24"/>
          <w:szCs w:val="24"/>
          <w:lang w:val="en-US"/>
        </w:rPr>
        <w:t xml:space="preserve"> versus </w:t>
      </w:r>
      <w:proofErr w:type="spellStart"/>
      <w:r w:rsidR="000C179F">
        <w:rPr>
          <w:sz w:val="24"/>
          <w:szCs w:val="24"/>
          <w:lang w:val="en-US"/>
        </w:rPr>
        <w:t>nicarbazin</w:t>
      </w:r>
      <w:proofErr w:type="spellEnd"/>
      <w:r w:rsidR="000C179F">
        <w:rPr>
          <w:sz w:val="24"/>
          <w:szCs w:val="24"/>
          <w:lang w:val="en-US"/>
        </w:rPr>
        <w:t xml:space="preserve"> alone </w:t>
      </w:r>
      <w:r w:rsidR="00190FB0">
        <w:rPr>
          <w:sz w:val="24"/>
          <w:szCs w:val="24"/>
          <w:lang w:val="en-US"/>
        </w:rPr>
        <w:t xml:space="preserve">whereas addition of </w:t>
      </w:r>
      <w:proofErr w:type="spellStart"/>
      <w:r w:rsidR="00190FB0">
        <w:rPr>
          <w:sz w:val="24"/>
          <w:szCs w:val="24"/>
          <w:lang w:val="en-US"/>
        </w:rPr>
        <w:t>monensin</w:t>
      </w:r>
      <w:proofErr w:type="spellEnd"/>
      <w:r w:rsidR="00190FB0">
        <w:rPr>
          <w:sz w:val="24"/>
          <w:szCs w:val="24"/>
          <w:lang w:val="en-US"/>
        </w:rPr>
        <w:t xml:space="preserve"> </w:t>
      </w:r>
      <w:r w:rsidR="001829BD">
        <w:rPr>
          <w:sz w:val="24"/>
          <w:szCs w:val="24"/>
          <w:lang w:val="en-US"/>
        </w:rPr>
        <w:t xml:space="preserve">to </w:t>
      </w:r>
      <w:proofErr w:type="spellStart"/>
      <w:r w:rsidR="001829BD">
        <w:rPr>
          <w:sz w:val="24"/>
          <w:szCs w:val="24"/>
          <w:lang w:val="en-US"/>
        </w:rPr>
        <w:t>nicarbazin</w:t>
      </w:r>
      <w:proofErr w:type="spellEnd"/>
      <w:r w:rsidR="001829BD">
        <w:rPr>
          <w:sz w:val="24"/>
          <w:szCs w:val="24"/>
          <w:lang w:val="en-US"/>
        </w:rPr>
        <w:t xml:space="preserve"> </w:t>
      </w:r>
      <w:r w:rsidR="00190FB0">
        <w:rPr>
          <w:sz w:val="24"/>
          <w:szCs w:val="24"/>
          <w:lang w:val="en-US"/>
        </w:rPr>
        <w:t>resulted in significant</w:t>
      </w:r>
      <w:r w:rsidR="005A4F78">
        <w:rPr>
          <w:sz w:val="24"/>
          <w:szCs w:val="24"/>
          <w:lang w:val="en-US"/>
        </w:rPr>
        <w:t>ly</w:t>
      </w:r>
      <w:r w:rsidR="00190FB0">
        <w:rPr>
          <w:sz w:val="24"/>
          <w:szCs w:val="24"/>
          <w:lang w:val="en-US"/>
        </w:rPr>
        <w:t xml:space="preserve"> lower lesion scores </w:t>
      </w:r>
      <w:r w:rsidR="007C62ED">
        <w:rPr>
          <w:sz w:val="24"/>
          <w:szCs w:val="24"/>
          <w:lang w:val="en-US"/>
        </w:rPr>
        <w:t xml:space="preserve">and </w:t>
      </w:r>
      <w:r w:rsidR="00F84132">
        <w:rPr>
          <w:sz w:val="24"/>
          <w:szCs w:val="24"/>
          <w:lang w:val="en-US"/>
        </w:rPr>
        <w:t>h</w:t>
      </w:r>
      <w:r w:rsidR="007C62ED">
        <w:rPr>
          <w:sz w:val="24"/>
          <w:szCs w:val="24"/>
          <w:lang w:val="en-US"/>
        </w:rPr>
        <w:t>igher BW</w:t>
      </w:r>
      <w:r w:rsidR="00190FB0">
        <w:rPr>
          <w:sz w:val="24"/>
          <w:szCs w:val="24"/>
          <w:lang w:val="en-US"/>
        </w:rPr>
        <w:t xml:space="preserve">. </w:t>
      </w:r>
      <w:r w:rsidR="001829BD">
        <w:rPr>
          <w:sz w:val="24"/>
          <w:szCs w:val="24"/>
          <w:lang w:val="en-US"/>
        </w:rPr>
        <w:t>Results</w:t>
      </w:r>
      <w:r w:rsidR="00003DAA" w:rsidRPr="00003DAA">
        <w:rPr>
          <w:sz w:val="24"/>
          <w:szCs w:val="24"/>
          <w:lang w:val="en-US"/>
        </w:rPr>
        <w:t xml:space="preserve"> </w:t>
      </w:r>
      <w:r w:rsidR="005A4F78">
        <w:rPr>
          <w:sz w:val="24"/>
          <w:szCs w:val="24"/>
          <w:lang w:val="en-US"/>
        </w:rPr>
        <w:t>may</w:t>
      </w:r>
      <w:r w:rsidR="005A4F78" w:rsidRPr="00003DAA">
        <w:rPr>
          <w:sz w:val="24"/>
          <w:szCs w:val="24"/>
          <w:lang w:val="en-US"/>
        </w:rPr>
        <w:t xml:space="preserve"> </w:t>
      </w:r>
      <w:r w:rsidR="00003DAA" w:rsidRPr="00003DAA">
        <w:rPr>
          <w:sz w:val="24"/>
          <w:szCs w:val="24"/>
          <w:lang w:val="en-US"/>
        </w:rPr>
        <w:t xml:space="preserve">be partially explained by better performance of </w:t>
      </w:r>
      <w:proofErr w:type="spellStart"/>
      <w:r w:rsidR="00003DAA" w:rsidRPr="00003DAA">
        <w:rPr>
          <w:sz w:val="24"/>
          <w:szCs w:val="24"/>
          <w:lang w:val="en-US"/>
        </w:rPr>
        <w:t>monensin</w:t>
      </w:r>
      <w:proofErr w:type="spellEnd"/>
      <w:r w:rsidR="00003DAA" w:rsidRPr="00003DAA">
        <w:rPr>
          <w:sz w:val="24"/>
          <w:szCs w:val="24"/>
          <w:lang w:val="en-US"/>
        </w:rPr>
        <w:t xml:space="preserve"> </w:t>
      </w:r>
      <w:r w:rsidR="001829BD">
        <w:rPr>
          <w:sz w:val="24"/>
          <w:szCs w:val="24"/>
          <w:lang w:val="en-US"/>
        </w:rPr>
        <w:t>than</w:t>
      </w:r>
      <w:r w:rsidR="00003DAA" w:rsidRPr="00003DAA">
        <w:rPr>
          <w:sz w:val="24"/>
          <w:szCs w:val="24"/>
          <w:lang w:val="en-US"/>
        </w:rPr>
        <w:t xml:space="preserve"> </w:t>
      </w:r>
      <w:proofErr w:type="spellStart"/>
      <w:r w:rsidR="00003DAA" w:rsidRPr="00003DAA">
        <w:rPr>
          <w:sz w:val="24"/>
          <w:szCs w:val="24"/>
          <w:lang w:val="en-US"/>
        </w:rPr>
        <w:t>narasin</w:t>
      </w:r>
      <w:proofErr w:type="spellEnd"/>
      <w:r w:rsidR="00003DAA" w:rsidRPr="00003DAA">
        <w:rPr>
          <w:sz w:val="24"/>
          <w:szCs w:val="24"/>
          <w:lang w:val="en-US"/>
        </w:rPr>
        <w:t xml:space="preserve"> in this trial</w:t>
      </w:r>
      <w:r w:rsidR="001829BD">
        <w:rPr>
          <w:sz w:val="24"/>
          <w:szCs w:val="24"/>
          <w:lang w:val="en-US"/>
        </w:rPr>
        <w:t xml:space="preserve">, but also </w:t>
      </w:r>
      <w:r w:rsidR="00003DAA" w:rsidRPr="00003DAA">
        <w:rPr>
          <w:sz w:val="24"/>
          <w:szCs w:val="24"/>
          <w:lang w:val="en-US"/>
        </w:rPr>
        <w:t xml:space="preserve">indicate a </w:t>
      </w:r>
      <w:r w:rsidR="006A5941">
        <w:rPr>
          <w:sz w:val="24"/>
          <w:szCs w:val="24"/>
          <w:lang w:val="en-US"/>
        </w:rPr>
        <w:t>better</w:t>
      </w:r>
      <w:r w:rsidR="00003DAA" w:rsidRPr="00003DAA">
        <w:rPr>
          <w:sz w:val="24"/>
          <w:szCs w:val="24"/>
          <w:lang w:val="en-US"/>
        </w:rPr>
        <w:t xml:space="preserve"> effect of combining nicarbazin with </w:t>
      </w:r>
      <w:proofErr w:type="spellStart"/>
      <w:r w:rsidR="00003DAA" w:rsidRPr="00003DAA">
        <w:rPr>
          <w:sz w:val="24"/>
          <w:szCs w:val="24"/>
          <w:lang w:val="en-US"/>
        </w:rPr>
        <w:t>monensin</w:t>
      </w:r>
      <w:proofErr w:type="spellEnd"/>
      <w:r w:rsidR="00003DAA" w:rsidRPr="00003DAA">
        <w:rPr>
          <w:sz w:val="24"/>
          <w:szCs w:val="24"/>
          <w:lang w:val="en-US"/>
        </w:rPr>
        <w:t xml:space="preserve"> </w:t>
      </w:r>
      <w:r w:rsidR="001829BD">
        <w:rPr>
          <w:sz w:val="24"/>
          <w:szCs w:val="24"/>
          <w:lang w:val="en-US"/>
        </w:rPr>
        <w:t>than</w:t>
      </w:r>
      <w:r w:rsidR="00003DAA" w:rsidRPr="00003DAA">
        <w:rPr>
          <w:sz w:val="24"/>
          <w:szCs w:val="24"/>
          <w:lang w:val="en-US"/>
        </w:rPr>
        <w:t xml:space="preserve"> with </w:t>
      </w:r>
      <w:proofErr w:type="spellStart"/>
      <w:r w:rsidR="00003DAA" w:rsidRPr="00003DAA">
        <w:rPr>
          <w:sz w:val="24"/>
          <w:szCs w:val="24"/>
          <w:lang w:val="en-US"/>
        </w:rPr>
        <w:t>narasin</w:t>
      </w:r>
      <w:proofErr w:type="spellEnd"/>
      <w:r w:rsidR="00003DAA" w:rsidRPr="00003DAA">
        <w:rPr>
          <w:sz w:val="24"/>
          <w:szCs w:val="24"/>
          <w:lang w:val="en-US"/>
        </w:rPr>
        <w:t>.</w:t>
      </w:r>
      <w:r w:rsidR="00190FB0">
        <w:rPr>
          <w:sz w:val="24"/>
          <w:szCs w:val="24"/>
          <w:lang w:val="en-US"/>
        </w:rPr>
        <w:t xml:space="preserve"> </w:t>
      </w:r>
    </w:p>
    <w:p w:rsidR="00072E20" w:rsidRPr="00003DAA" w:rsidRDefault="00072E20">
      <w:pPr>
        <w:rPr>
          <w:sz w:val="24"/>
          <w:szCs w:val="24"/>
          <w:lang w:val="en-US"/>
        </w:rPr>
      </w:pPr>
    </w:p>
    <w:sectPr w:rsidR="00072E20" w:rsidRPr="00003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54535"/>
    <w:multiLevelType w:val="hybridMultilevel"/>
    <w:tmpl w:val="C212DDD0"/>
    <w:lvl w:ilvl="0" w:tplc="F6444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BB"/>
    <w:rsid w:val="00003DAA"/>
    <w:rsid w:val="00004EDD"/>
    <w:rsid w:val="000105CD"/>
    <w:rsid w:val="00053FFC"/>
    <w:rsid w:val="00060246"/>
    <w:rsid w:val="00072E20"/>
    <w:rsid w:val="00087F74"/>
    <w:rsid w:val="000A01CC"/>
    <w:rsid w:val="000A7D7A"/>
    <w:rsid w:val="000B4CED"/>
    <w:rsid w:val="000C179F"/>
    <w:rsid w:val="000C29BB"/>
    <w:rsid w:val="000D37D3"/>
    <w:rsid w:val="0010160B"/>
    <w:rsid w:val="0012035F"/>
    <w:rsid w:val="0016690C"/>
    <w:rsid w:val="001766EF"/>
    <w:rsid w:val="001829BD"/>
    <w:rsid w:val="001836D8"/>
    <w:rsid w:val="00190FB0"/>
    <w:rsid w:val="001C59AA"/>
    <w:rsid w:val="001F6380"/>
    <w:rsid w:val="00201618"/>
    <w:rsid w:val="00204C7A"/>
    <w:rsid w:val="00212E3A"/>
    <w:rsid w:val="00244087"/>
    <w:rsid w:val="0026650A"/>
    <w:rsid w:val="00282406"/>
    <w:rsid w:val="00293E83"/>
    <w:rsid w:val="002964B6"/>
    <w:rsid w:val="002A1EBC"/>
    <w:rsid w:val="002B5429"/>
    <w:rsid w:val="002B6EE6"/>
    <w:rsid w:val="002C5721"/>
    <w:rsid w:val="002E01F5"/>
    <w:rsid w:val="002F107A"/>
    <w:rsid w:val="002F4F1C"/>
    <w:rsid w:val="00305463"/>
    <w:rsid w:val="00315959"/>
    <w:rsid w:val="00323599"/>
    <w:rsid w:val="00395283"/>
    <w:rsid w:val="00397DBA"/>
    <w:rsid w:val="003E7719"/>
    <w:rsid w:val="003F0EA0"/>
    <w:rsid w:val="00407798"/>
    <w:rsid w:val="0044318B"/>
    <w:rsid w:val="004520C8"/>
    <w:rsid w:val="004521E4"/>
    <w:rsid w:val="00492EF8"/>
    <w:rsid w:val="004C3F0F"/>
    <w:rsid w:val="004D5F4A"/>
    <w:rsid w:val="00522668"/>
    <w:rsid w:val="0053460E"/>
    <w:rsid w:val="00542A06"/>
    <w:rsid w:val="00545855"/>
    <w:rsid w:val="005A4F78"/>
    <w:rsid w:val="005E5E9A"/>
    <w:rsid w:val="005F67A1"/>
    <w:rsid w:val="0061620B"/>
    <w:rsid w:val="00625C88"/>
    <w:rsid w:val="00657412"/>
    <w:rsid w:val="0068278F"/>
    <w:rsid w:val="00693B4B"/>
    <w:rsid w:val="006A49CE"/>
    <w:rsid w:val="006A5941"/>
    <w:rsid w:val="006B066B"/>
    <w:rsid w:val="007233AC"/>
    <w:rsid w:val="00723416"/>
    <w:rsid w:val="00725F28"/>
    <w:rsid w:val="00761F6D"/>
    <w:rsid w:val="00766EC4"/>
    <w:rsid w:val="0077574E"/>
    <w:rsid w:val="00781D43"/>
    <w:rsid w:val="00785181"/>
    <w:rsid w:val="00793541"/>
    <w:rsid w:val="00796887"/>
    <w:rsid w:val="007B0099"/>
    <w:rsid w:val="007B40CB"/>
    <w:rsid w:val="007C62ED"/>
    <w:rsid w:val="007E7E58"/>
    <w:rsid w:val="007F256F"/>
    <w:rsid w:val="007F43BA"/>
    <w:rsid w:val="0080214F"/>
    <w:rsid w:val="008207DC"/>
    <w:rsid w:val="008319BB"/>
    <w:rsid w:val="00844E53"/>
    <w:rsid w:val="00846F4C"/>
    <w:rsid w:val="00875F64"/>
    <w:rsid w:val="008A4E18"/>
    <w:rsid w:val="00912227"/>
    <w:rsid w:val="00917BE8"/>
    <w:rsid w:val="0092363E"/>
    <w:rsid w:val="00936A67"/>
    <w:rsid w:val="009475D8"/>
    <w:rsid w:val="0097538B"/>
    <w:rsid w:val="009A348E"/>
    <w:rsid w:val="009B4682"/>
    <w:rsid w:val="009B7F8A"/>
    <w:rsid w:val="009C5D16"/>
    <w:rsid w:val="009D11CF"/>
    <w:rsid w:val="009E184D"/>
    <w:rsid w:val="009F6FFB"/>
    <w:rsid w:val="00A06C16"/>
    <w:rsid w:val="00A4776D"/>
    <w:rsid w:val="00A501FA"/>
    <w:rsid w:val="00A838C6"/>
    <w:rsid w:val="00A973D1"/>
    <w:rsid w:val="00B13477"/>
    <w:rsid w:val="00B379B5"/>
    <w:rsid w:val="00B545D5"/>
    <w:rsid w:val="00B54605"/>
    <w:rsid w:val="00B642A5"/>
    <w:rsid w:val="00BC69CA"/>
    <w:rsid w:val="00BF2A45"/>
    <w:rsid w:val="00C123E4"/>
    <w:rsid w:val="00C2544C"/>
    <w:rsid w:val="00C51BF5"/>
    <w:rsid w:val="00C51D6C"/>
    <w:rsid w:val="00C5250B"/>
    <w:rsid w:val="00C87250"/>
    <w:rsid w:val="00CA2BCA"/>
    <w:rsid w:val="00CD4970"/>
    <w:rsid w:val="00D01ED0"/>
    <w:rsid w:val="00D37716"/>
    <w:rsid w:val="00D54F9C"/>
    <w:rsid w:val="00DB7A41"/>
    <w:rsid w:val="00DE101C"/>
    <w:rsid w:val="00DF47CE"/>
    <w:rsid w:val="00DF6175"/>
    <w:rsid w:val="00E2296A"/>
    <w:rsid w:val="00E25850"/>
    <w:rsid w:val="00E27AF3"/>
    <w:rsid w:val="00E521B4"/>
    <w:rsid w:val="00ED1775"/>
    <w:rsid w:val="00EE3242"/>
    <w:rsid w:val="00EF78A2"/>
    <w:rsid w:val="00F06D2F"/>
    <w:rsid w:val="00F32947"/>
    <w:rsid w:val="00F5045A"/>
    <w:rsid w:val="00F55A23"/>
    <w:rsid w:val="00F84132"/>
    <w:rsid w:val="00F92D08"/>
    <w:rsid w:val="00FA12EF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C06F"/>
  <w15:docId w15:val="{41C36B05-526F-4FA4-8F52-D1EC014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3DAA"/>
    <w:rPr>
      <w:color w:val="808080"/>
    </w:rPr>
  </w:style>
  <w:style w:type="table" w:styleId="TableGrid">
    <w:name w:val="Table Grid"/>
    <w:basedOn w:val="TableNormal"/>
    <w:uiPriority w:val="59"/>
    <w:rsid w:val="0062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01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FE5BC-2B7F-4185-B197-D82CE8FE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Monita Vereecken</dc:creator>
  <cp:lastModifiedBy>Maja Marien</cp:lastModifiedBy>
  <cp:revision>3</cp:revision>
  <cp:lastPrinted>2017-01-27T14:25:00Z</cp:lastPrinted>
  <dcterms:created xsi:type="dcterms:W3CDTF">2017-11-30T11:52:00Z</dcterms:created>
  <dcterms:modified xsi:type="dcterms:W3CDTF">2017-11-30T12:16:00Z</dcterms:modified>
</cp:coreProperties>
</file>