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ACE" w:rsidRPr="00DF1987" w:rsidRDefault="008F6ACE" w:rsidP="00F553ED">
      <w:pPr>
        <w:jc w:val="center"/>
        <w:rPr>
          <w:bCs/>
          <w:caps/>
          <w:lang w:val="en-US"/>
        </w:rPr>
      </w:pPr>
      <w:r w:rsidRPr="00DF1987">
        <w:rPr>
          <w:bCs/>
          <w:caps/>
          <w:lang w:val="en-US"/>
        </w:rPr>
        <w:t>Effect of guanidinoacetic acid supplementation to diets varying in nutrient density on performance of broilers</w:t>
      </w:r>
    </w:p>
    <w:p w:rsidR="00F553ED" w:rsidRPr="00DF1987" w:rsidRDefault="00F553ED" w:rsidP="00F553ED">
      <w:pPr>
        <w:jc w:val="center"/>
        <w:rPr>
          <w:b/>
          <w:lang w:val="en-US"/>
        </w:rPr>
      </w:pPr>
    </w:p>
    <w:p w:rsidR="008F6ACE" w:rsidRPr="00DF1987" w:rsidRDefault="008F6ACE" w:rsidP="00F553ED">
      <w:pPr>
        <w:tabs>
          <w:tab w:val="left" w:pos="1036"/>
        </w:tabs>
        <w:jc w:val="center"/>
        <w:rPr>
          <w:vertAlign w:val="superscript"/>
          <w:lang w:val="nl-BE"/>
        </w:rPr>
      </w:pPr>
      <w:r w:rsidRPr="00DF1987">
        <w:rPr>
          <w:u w:val="single"/>
          <w:lang w:val="de-DE"/>
        </w:rPr>
        <w:t>M. Majdeddin</w:t>
      </w:r>
      <w:r w:rsidRPr="00DF1987">
        <w:rPr>
          <w:u w:val="single"/>
          <w:vertAlign w:val="superscript"/>
          <w:lang w:val="de-DE"/>
        </w:rPr>
        <w:t>12</w:t>
      </w:r>
      <w:r w:rsidRPr="00DF1987">
        <w:rPr>
          <w:lang w:val="de-DE"/>
        </w:rPr>
        <w:t>, A. Golian</w:t>
      </w:r>
      <w:r w:rsidRPr="00DF1987">
        <w:rPr>
          <w:vertAlign w:val="superscript"/>
          <w:lang w:val="de-DE"/>
        </w:rPr>
        <w:t>1</w:t>
      </w:r>
      <w:r w:rsidRPr="00DF1987">
        <w:rPr>
          <w:lang w:val="de-DE"/>
        </w:rPr>
        <w:t xml:space="preserve">, </w:t>
      </w:r>
      <w:r w:rsidRPr="00DF1987">
        <w:rPr>
          <w:lang w:val="nl-BE"/>
        </w:rPr>
        <w:t>H. Kermanshahi</w:t>
      </w:r>
      <w:r w:rsidRPr="00DF1987">
        <w:rPr>
          <w:vertAlign w:val="superscript"/>
          <w:lang w:val="nl-BE"/>
        </w:rPr>
        <w:t>1</w:t>
      </w:r>
      <w:r w:rsidRPr="00DF1987">
        <w:rPr>
          <w:lang w:val="nl-BE"/>
        </w:rPr>
        <w:t>, S. De Smet</w:t>
      </w:r>
      <w:r w:rsidR="00352124" w:rsidRPr="00DF1987">
        <w:rPr>
          <w:vertAlign w:val="superscript"/>
          <w:lang w:val="nl-BE"/>
        </w:rPr>
        <w:t>2</w:t>
      </w:r>
      <w:r w:rsidRPr="00DF1987">
        <w:rPr>
          <w:lang w:val="nl-BE"/>
        </w:rPr>
        <w:t xml:space="preserve"> &amp; J. Michiels</w:t>
      </w:r>
      <w:r w:rsidRPr="00DF1987">
        <w:rPr>
          <w:vertAlign w:val="superscript"/>
          <w:lang w:val="nl-BE"/>
        </w:rPr>
        <w:t>2</w:t>
      </w:r>
    </w:p>
    <w:p w:rsidR="0007589B" w:rsidRPr="00DF1987" w:rsidRDefault="0007589B" w:rsidP="00F553ED">
      <w:pPr>
        <w:tabs>
          <w:tab w:val="left" w:pos="360"/>
        </w:tabs>
        <w:jc w:val="center"/>
        <w:rPr>
          <w:u w:val="single"/>
          <w:lang w:val="nl-BE"/>
        </w:rPr>
      </w:pPr>
    </w:p>
    <w:p w:rsidR="0007589B" w:rsidRPr="00DF1987" w:rsidRDefault="008F6ACE" w:rsidP="00352124">
      <w:pPr>
        <w:tabs>
          <w:tab w:val="left" w:pos="1036"/>
          <w:tab w:val="right" w:pos="3259"/>
        </w:tabs>
        <w:contextualSpacing/>
        <w:jc w:val="center"/>
        <w:rPr>
          <w:iCs/>
        </w:rPr>
      </w:pPr>
      <w:r w:rsidRPr="00DF1987">
        <w:rPr>
          <w:iCs/>
          <w:vertAlign w:val="superscript"/>
        </w:rPr>
        <w:t>1</w:t>
      </w:r>
      <w:r w:rsidRPr="00DF1987">
        <w:rPr>
          <w:iCs/>
        </w:rPr>
        <w:t xml:space="preserve">Centre of Excellence in the Animal Science Department, Ferdowsi University of Mashhad, </w:t>
      </w:r>
      <w:r w:rsidR="00352124" w:rsidRPr="00DF1987">
        <w:rPr>
          <w:iCs/>
        </w:rPr>
        <w:t>IR Iran</w:t>
      </w:r>
      <w:r w:rsidRPr="00DF1987">
        <w:rPr>
          <w:iCs/>
        </w:rPr>
        <w:t xml:space="preserve">, </w:t>
      </w:r>
      <w:r w:rsidR="00352124" w:rsidRPr="00DF1987">
        <w:rPr>
          <w:iCs/>
          <w:vertAlign w:val="superscript"/>
        </w:rPr>
        <w:t>2</w:t>
      </w:r>
      <w:r w:rsidR="00352124" w:rsidRPr="00DF1987">
        <w:rPr>
          <w:iCs/>
        </w:rPr>
        <w:t>Laboratory for Animal Nutrition and Animal Product Quality, Department of Animal Sciences and Applied Aquatic Ecology, Ghent University, Belgium</w:t>
      </w:r>
    </w:p>
    <w:p w:rsidR="00352124" w:rsidRPr="00DF1987" w:rsidRDefault="00352124" w:rsidP="00352124">
      <w:pPr>
        <w:tabs>
          <w:tab w:val="left" w:pos="1036"/>
          <w:tab w:val="right" w:pos="3259"/>
        </w:tabs>
        <w:contextualSpacing/>
        <w:jc w:val="center"/>
      </w:pPr>
    </w:p>
    <w:p w:rsidR="00E823C6" w:rsidRPr="00DF1987" w:rsidRDefault="00D84192" w:rsidP="00352124">
      <w:pPr>
        <w:tabs>
          <w:tab w:val="left" w:pos="360"/>
        </w:tabs>
        <w:jc w:val="both"/>
        <w:rPr>
          <w:rFonts w:eastAsia="SimSun"/>
          <w:kern w:val="1"/>
          <w:lang w:eastAsia="en-US"/>
        </w:rPr>
      </w:pPr>
      <w:r w:rsidRPr="00DF1987">
        <w:rPr>
          <w:lang w:val="en-US"/>
        </w:rPr>
        <w:t>The creatine</w:t>
      </w:r>
      <w:r w:rsidR="00DD11E0" w:rsidRPr="00DF1987">
        <w:rPr>
          <w:lang w:val="en-US"/>
        </w:rPr>
        <w:t xml:space="preserve"> (Cr)</w:t>
      </w:r>
      <w:r w:rsidRPr="00DF1987">
        <w:rPr>
          <w:lang w:val="en-US"/>
        </w:rPr>
        <w:t xml:space="preserve"> and creatine phosphate</w:t>
      </w:r>
      <w:r w:rsidR="00DD11E0" w:rsidRPr="00DF1987">
        <w:rPr>
          <w:lang w:val="en-US"/>
        </w:rPr>
        <w:t xml:space="preserve"> </w:t>
      </w:r>
      <w:r w:rsidRPr="00DF1987">
        <w:rPr>
          <w:lang w:val="en-US"/>
        </w:rPr>
        <w:t>system plays a critical role in energy homeostasis of cells</w:t>
      </w:r>
      <w:r w:rsidR="000A247C" w:rsidRPr="00DF1987">
        <w:rPr>
          <w:lang w:val="en-US"/>
        </w:rPr>
        <w:t xml:space="preserve"> and </w:t>
      </w:r>
      <w:proofErr w:type="spellStart"/>
      <w:r w:rsidR="000A247C" w:rsidRPr="00DF1987">
        <w:rPr>
          <w:lang w:val="en-US"/>
        </w:rPr>
        <w:t>g</w:t>
      </w:r>
      <w:r w:rsidRPr="00DF1987">
        <w:rPr>
          <w:lang w:val="en-US"/>
        </w:rPr>
        <w:t>uanidinoacetic</w:t>
      </w:r>
      <w:proofErr w:type="spellEnd"/>
      <w:r w:rsidRPr="00DF1987">
        <w:rPr>
          <w:lang w:val="en-US"/>
        </w:rPr>
        <w:t xml:space="preserve"> acid (GAA) is the single precursor of </w:t>
      </w:r>
      <w:r w:rsidR="00DD11E0" w:rsidRPr="00DF1987">
        <w:rPr>
          <w:lang w:val="en-US"/>
        </w:rPr>
        <w:t>Cr</w:t>
      </w:r>
      <w:r w:rsidRPr="00DF1987">
        <w:rPr>
          <w:lang w:val="en-US"/>
        </w:rPr>
        <w:t xml:space="preserve">. </w:t>
      </w:r>
      <w:r w:rsidR="00C26452" w:rsidRPr="00DF1987">
        <w:rPr>
          <w:lang w:val="en-US"/>
        </w:rPr>
        <w:t>We</w:t>
      </w:r>
      <w:r w:rsidRPr="00DF1987">
        <w:rPr>
          <w:lang w:val="en-US"/>
        </w:rPr>
        <w:t xml:space="preserve"> hypothesized that </w:t>
      </w:r>
      <w:r w:rsidR="000A247C" w:rsidRPr="00DF1987">
        <w:rPr>
          <w:lang w:val="en-US"/>
        </w:rPr>
        <w:t xml:space="preserve">dietary </w:t>
      </w:r>
      <w:r w:rsidRPr="00DF1987">
        <w:rPr>
          <w:lang w:val="en-US"/>
        </w:rPr>
        <w:t>GAA would have different effect</w:t>
      </w:r>
      <w:r w:rsidR="00CE6772" w:rsidRPr="00DF1987">
        <w:rPr>
          <w:lang w:val="en-US"/>
        </w:rPr>
        <w:t>s</w:t>
      </w:r>
      <w:r w:rsidRPr="00DF1987">
        <w:rPr>
          <w:lang w:val="en-US"/>
        </w:rPr>
        <w:t xml:space="preserve"> on performance, depending on the dietary nutrient density (ND).</w:t>
      </w:r>
      <w:r w:rsidR="00352124" w:rsidRPr="00DF1987">
        <w:rPr>
          <w:lang w:val="en-US"/>
        </w:rPr>
        <w:t xml:space="preserve"> </w:t>
      </w:r>
      <w:r w:rsidRPr="00DF1987">
        <w:rPr>
          <w:lang w:val="en-US"/>
        </w:rPr>
        <w:t>540 one-day-old male Ross308 broilers were allocated to 9 dietar</w:t>
      </w:r>
      <w:r w:rsidR="00856600">
        <w:rPr>
          <w:lang w:val="en-US"/>
        </w:rPr>
        <w:t>y treatments with 6 replicates (</w:t>
      </w:r>
      <w:r w:rsidRPr="00DF1987">
        <w:rPr>
          <w:lang w:val="en-US"/>
        </w:rPr>
        <w:t xml:space="preserve">10 birds each) in a 3×3 factorial arrangement with 3 levels of GAA (0, 0.6 and </w:t>
      </w:r>
      <w:r w:rsidR="00342F26" w:rsidRPr="00DF1987">
        <w:rPr>
          <w:lang w:val="en-US"/>
        </w:rPr>
        <w:t xml:space="preserve">1.2 g/kg) and 3 </w:t>
      </w:r>
      <w:r w:rsidR="00DF1987">
        <w:rPr>
          <w:lang w:val="en-US"/>
        </w:rPr>
        <w:t>levels of</w:t>
      </w:r>
      <w:r w:rsidR="00342F26" w:rsidRPr="00DF1987">
        <w:rPr>
          <w:lang w:val="en-US"/>
        </w:rPr>
        <w:t xml:space="preserve"> ND</w:t>
      </w:r>
      <w:r w:rsidR="000A247C" w:rsidRPr="00DF1987">
        <w:rPr>
          <w:lang w:val="en-US"/>
        </w:rPr>
        <w:t xml:space="preserve"> (</w:t>
      </w:r>
      <w:r w:rsidRPr="00DF1987">
        <w:rPr>
          <w:lang w:val="en-US"/>
        </w:rPr>
        <w:t>2800</w:t>
      </w:r>
      <w:r w:rsidR="00856600">
        <w:rPr>
          <w:lang w:val="en-US"/>
        </w:rPr>
        <w:t xml:space="preserve">, 2950 and </w:t>
      </w:r>
      <w:r w:rsidRPr="00DF1987">
        <w:rPr>
          <w:lang w:val="en-US"/>
        </w:rPr>
        <w:t>3100 kca</w:t>
      </w:r>
      <w:r w:rsidR="003E3E6D" w:rsidRPr="00DF1987">
        <w:rPr>
          <w:lang w:val="en-US"/>
        </w:rPr>
        <w:t>l ME/k</w:t>
      </w:r>
      <w:bookmarkStart w:id="0" w:name="_GoBack"/>
      <w:bookmarkEnd w:id="0"/>
      <w:r w:rsidR="003E3E6D" w:rsidRPr="00DF1987">
        <w:rPr>
          <w:lang w:val="en-US"/>
        </w:rPr>
        <w:t>g, and with other nutrients constant relative to ME</w:t>
      </w:r>
      <w:r w:rsidR="000A247C" w:rsidRPr="00DF1987">
        <w:rPr>
          <w:lang w:val="en-US"/>
        </w:rPr>
        <w:t>)</w:t>
      </w:r>
      <w:r w:rsidRPr="00DF1987">
        <w:rPr>
          <w:lang w:val="en-US"/>
        </w:rPr>
        <w:t xml:space="preserve">. </w:t>
      </w:r>
      <w:r w:rsidR="00DB65B2" w:rsidRPr="00DF1987">
        <w:rPr>
          <w:lang w:val="en-US"/>
        </w:rPr>
        <w:t>One bird per pen was euthanized on d10, 25 and 42 to determine the</w:t>
      </w:r>
      <w:r w:rsidR="00342F26" w:rsidRPr="00DF1987">
        <w:rPr>
          <w:lang w:val="en-US"/>
        </w:rPr>
        <w:t xml:space="preserve"> concentration of </w:t>
      </w:r>
      <w:r w:rsidR="00DB65B2" w:rsidRPr="00DF1987">
        <w:rPr>
          <w:lang w:val="en-US"/>
        </w:rPr>
        <w:t xml:space="preserve">energetic metabolites of adenosine phosphate, Cr and </w:t>
      </w:r>
      <w:r w:rsidR="00122B8F" w:rsidRPr="00DF1987">
        <w:rPr>
          <w:lang w:val="en-US"/>
        </w:rPr>
        <w:t>creatinine</w:t>
      </w:r>
      <w:r w:rsidR="00DB65B2" w:rsidRPr="00DF1987">
        <w:rPr>
          <w:lang w:val="en-US"/>
        </w:rPr>
        <w:t xml:space="preserve"> in breast muscle</w:t>
      </w:r>
      <w:r w:rsidR="00122B8F" w:rsidRPr="00DF1987">
        <w:rPr>
          <w:lang w:val="en-US"/>
        </w:rPr>
        <w:t>.</w:t>
      </w:r>
      <w:r w:rsidR="00352124" w:rsidRPr="00DF1987">
        <w:rPr>
          <w:lang w:val="en-US"/>
        </w:rPr>
        <w:t xml:space="preserve"> </w:t>
      </w:r>
      <w:r w:rsidRPr="00DF1987">
        <w:rPr>
          <w:lang w:val="en-US"/>
        </w:rPr>
        <w:t>In the starter</w:t>
      </w:r>
      <w:r w:rsidR="00342F26" w:rsidRPr="00DF1987">
        <w:rPr>
          <w:lang w:val="en-US"/>
        </w:rPr>
        <w:t xml:space="preserve"> </w:t>
      </w:r>
      <w:r w:rsidRPr="00DF1987">
        <w:rPr>
          <w:lang w:val="en-US"/>
        </w:rPr>
        <w:t>and grower</w:t>
      </w:r>
      <w:r w:rsidR="00342F26" w:rsidRPr="00DF1987">
        <w:rPr>
          <w:lang w:val="en-US"/>
        </w:rPr>
        <w:t xml:space="preserve"> </w:t>
      </w:r>
      <w:r w:rsidRPr="00DF1987">
        <w:rPr>
          <w:lang w:val="en-US"/>
        </w:rPr>
        <w:t xml:space="preserve">period, </w:t>
      </w:r>
      <w:r w:rsidR="00342F26" w:rsidRPr="00DF1987">
        <w:rPr>
          <w:lang w:val="en-US"/>
        </w:rPr>
        <w:t>increasing</w:t>
      </w:r>
      <w:r w:rsidRPr="00DF1987">
        <w:rPr>
          <w:lang w:val="en-US"/>
        </w:rPr>
        <w:t xml:space="preserve"> level</w:t>
      </w:r>
      <w:r w:rsidR="00342F26" w:rsidRPr="00DF1987">
        <w:rPr>
          <w:lang w:val="en-US"/>
        </w:rPr>
        <w:t>s</w:t>
      </w:r>
      <w:r w:rsidRPr="00DF1987">
        <w:rPr>
          <w:lang w:val="en-US"/>
        </w:rPr>
        <w:t xml:space="preserve"> of ND </w:t>
      </w:r>
      <w:r w:rsidR="00342F26" w:rsidRPr="00DF1987">
        <w:rPr>
          <w:lang w:val="en-US"/>
        </w:rPr>
        <w:t>improved</w:t>
      </w:r>
      <w:r w:rsidR="000A247C" w:rsidRPr="00DF1987">
        <w:rPr>
          <w:lang w:val="en-US"/>
        </w:rPr>
        <w:t xml:space="preserve"> BW, ADG, </w:t>
      </w:r>
      <w:r w:rsidR="003E3E6D" w:rsidRPr="00DF1987">
        <w:rPr>
          <w:lang w:val="en-US"/>
        </w:rPr>
        <w:t>ADFI</w:t>
      </w:r>
      <w:r w:rsidRPr="00DF1987">
        <w:rPr>
          <w:lang w:val="en-US"/>
        </w:rPr>
        <w:t xml:space="preserve"> an</w:t>
      </w:r>
      <w:r w:rsidR="00342F26" w:rsidRPr="00DF1987">
        <w:rPr>
          <w:lang w:val="en-US"/>
        </w:rPr>
        <w:t>d FCR</w:t>
      </w:r>
      <w:r w:rsidR="003E3E6D" w:rsidRPr="00DF1987">
        <w:rPr>
          <w:lang w:val="en-US"/>
        </w:rPr>
        <w:t>, with the exception of ADFI in the starter period</w:t>
      </w:r>
      <w:r w:rsidR="00342F26" w:rsidRPr="00DF1987">
        <w:rPr>
          <w:lang w:val="en-US"/>
        </w:rPr>
        <w:t xml:space="preserve">. In contrast, </w:t>
      </w:r>
      <w:r w:rsidRPr="00DF1987">
        <w:rPr>
          <w:lang w:val="en-US"/>
        </w:rPr>
        <w:t xml:space="preserve">GAA supplementation </w:t>
      </w:r>
      <w:r w:rsidR="00342F26" w:rsidRPr="00DF1987">
        <w:rPr>
          <w:lang w:val="en-US"/>
        </w:rPr>
        <w:t>did not change these</w:t>
      </w:r>
      <w:r w:rsidRPr="00DF1987">
        <w:rPr>
          <w:lang w:val="en-US"/>
        </w:rPr>
        <w:t xml:space="preserve"> performance characteristics. </w:t>
      </w:r>
      <w:r w:rsidR="00C26452" w:rsidRPr="00DF1987">
        <w:rPr>
          <w:lang w:val="en-US"/>
        </w:rPr>
        <w:t>All performance indicators</w:t>
      </w:r>
      <w:r w:rsidRPr="00DF1987">
        <w:rPr>
          <w:lang w:val="en-US"/>
        </w:rPr>
        <w:t xml:space="preserve"> responded markedly to </w:t>
      </w:r>
      <w:r w:rsidR="00856600">
        <w:rPr>
          <w:lang w:val="en-US"/>
        </w:rPr>
        <w:t xml:space="preserve">increasing </w:t>
      </w:r>
      <w:r w:rsidRPr="00DF1987">
        <w:rPr>
          <w:lang w:val="en-US"/>
        </w:rPr>
        <w:t xml:space="preserve">ND in the finisher </w:t>
      </w:r>
      <w:r w:rsidR="00342F26" w:rsidRPr="00DF1987">
        <w:rPr>
          <w:lang w:val="en-US"/>
        </w:rPr>
        <w:t>period,</w:t>
      </w:r>
      <w:r w:rsidRPr="00DF1987">
        <w:rPr>
          <w:lang w:val="en-US"/>
        </w:rPr>
        <w:t xml:space="preserve"> wh</w:t>
      </w:r>
      <w:r w:rsidR="003E3E6D" w:rsidRPr="00DF1987">
        <w:rPr>
          <w:lang w:val="en-US"/>
        </w:rPr>
        <w:t>ereas</w:t>
      </w:r>
      <w:r w:rsidRPr="00DF1987">
        <w:rPr>
          <w:lang w:val="en-US"/>
        </w:rPr>
        <w:t xml:space="preserve"> </w:t>
      </w:r>
      <w:r w:rsidR="003E3E6D" w:rsidRPr="00DF1987">
        <w:rPr>
          <w:lang w:val="en-US"/>
        </w:rPr>
        <w:t xml:space="preserve">the highest </w:t>
      </w:r>
      <w:r w:rsidRPr="00DF1987">
        <w:rPr>
          <w:lang w:val="en-US"/>
        </w:rPr>
        <w:t xml:space="preserve">GAA </w:t>
      </w:r>
      <w:r w:rsidR="003E3E6D" w:rsidRPr="00DF1987">
        <w:rPr>
          <w:lang w:val="en-US"/>
        </w:rPr>
        <w:t>level reduced ADFI (</w:t>
      </w:r>
      <w:r w:rsidR="003C7F33" w:rsidRPr="00DF1987">
        <w:rPr>
          <w:lang w:val="en-US"/>
        </w:rPr>
        <w:t>155.6 g/d vs. 161.5 g/d) and FCR (1.81 vs. 1.93) as compared to control. No interactive eff</w:t>
      </w:r>
      <w:r w:rsidRPr="00DF1987">
        <w:rPr>
          <w:lang w:val="en-US"/>
        </w:rPr>
        <w:t xml:space="preserve">ects were noted for any performance </w:t>
      </w:r>
      <w:r w:rsidR="00C26452" w:rsidRPr="00DF1987">
        <w:rPr>
          <w:lang w:val="en-US"/>
        </w:rPr>
        <w:t>indicator</w:t>
      </w:r>
      <w:r w:rsidRPr="00DF1987">
        <w:rPr>
          <w:lang w:val="en-US"/>
        </w:rPr>
        <w:t>.</w:t>
      </w:r>
      <w:r w:rsidR="00DD11E0" w:rsidRPr="00DF1987">
        <w:rPr>
          <w:lang w:val="en-US"/>
        </w:rPr>
        <w:t xml:space="preserve"> </w:t>
      </w:r>
      <w:r w:rsidR="000A247C" w:rsidRPr="00DF1987">
        <w:rPr>
          <w:lang w:val="en-US"/>
        </w:rPr>
        <w:t>I</w:t>
      </w:r>
      <w:r w:rsidR="003C7F33" w:rsidRPr="00DF1987">
        <w:rPr>
          <w:lang w:val="en-US"/>
        </w:rPr>
        <w:t>nconsistent effect</w:t>
      </w:r>
      <w:r w:rsidR="000A247C" w:rsidRPr="00DF1987">
        <w:rPr>
          <w:lang w:val="en-US"/>
        </w:rPr>
        <w:t>s</w:t>
      </w:r>
      <w:r w:rsidR="003C7F33" w:rsidRPr="00DF1987">
        <w:rPr>
          <w:lang w:val="en-US"/>
        </w:rPr>
        <w:t xml:space="preserve"> on various </w:t>
      </w:r>
      <w:r w:rsidR="00856600">
        <w:rPr>
          <w:lang w:val="en-US"/>
        </w:rPr>
        <w:t xml:space="preserve">energetic </w:t>
      </w:r>
      <w:r w:rsidR="003C7F33" w:rsidRPr="00DF1987">
        <w:rPr>
          <w:lang w:val="en-US"/>
        </w:rPr>
        <w:t>metabolites</w:t>
      </w:r>
      <w:r w:rsidR="000A247C" w:rsidRPr="00DF1987">
        <w:rPr>
          <w:lang w:val="en-US"/>
        </w:rPr>
        <w:t xml:space="preserve"> in breast muscle were noticed</w:t>
      </w:r>
      <w:r w:rsidR="003C7F33" w:rsidRPr="00DF1987">
        <w:rPr>
          <w:lang w:val="en-US"/>
        </w:rPr>
        <w:t>.</w:t>
      </w:r>
      <w:r w:rsidR="0069326A" w:rsidRPr="00DF1987">
        <w:rPr>
          <w:lang w:val="en-US"/>
        </w:rPr>
        <w:t xml:space="preserve"> </w:t>
      </w:r>
      <w:r w:rsidR="003C7F33" w:rsidRPr="00DF1987">
        <w:rPr>
          <w:lang w:val="en-US"/>
        </w:rPr>
        <w:t xml:space="preserve">Nonetheless, at the end of the experiment, Cr was elevated when feeding GAA at 1.2 g/kg (5455 mg/kg FM vs. </w:t>
      </w:r>
      <w:r w:rsidR="000A247C" w:rsidRPr="00DF1987">
        <w:rPr>
          <w:lang w:val="en-US"/>
        </w:rPr>
        <w:t>4338 mg/kg FM)</w:t>
      </w:r>
      <w:r w:rsidR="00E823C6" w:rsidRPr="00DF1987">
        <w:rPr>
          <w:lang w:val="en-US"/>
        </w:rPr>
        <w:t>.</w:t>
      </w:r>
      <w:r w:rsidR="00352124" w:rsidRPr="00DF1987">
        <w:rPr>
          <w:lang w:val="en-US"/>
        </w:rPr>
        <w:t xml:space="preserve"> </w:t>
      </w:r>
      <w:r w:rsidR="000A247C" w:rsidRPr="00DF1987">
        <w:rPr>
          <w:rFonts w:eastAsia="SimSun"/>
          <w:kern w:val="1"/>
          <w:lang w:eastAsia="en-US"/>
        </w:rPr>
        <w:t>To conclude,</w:t>
      </w:r>
      <w:r w:rsidR="005C73AB" w:rsidRPr="00DF1987">
        <w:rPr>
          <w:rFonts w:eastAsia="SimSun"/>
          <w:kern w:val="1"/>
          <w:lang w:eastAsia="en-US"/>
        </w:rPr>
        <w:t xml:space="preserve"> effects of GAA were independent of ND level in the diet.</w:t>
      </w:r>
    </w:p>
    <w:sectPr w:rsidR="00E823C6" w:rsidRPr="00DF1987" w:rsidSect="00C74637">
      <w:footerReference w:type="default" r:id="rId7"/>
      <w:type w:val="continuous"/>
      <w:pgSz w:w="11907" w:h="16839" w:code="9"/>
      <w:pgMar w:top="1080" w:right="1080" w:bottom="108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9CB" w:rsidRDefault="00B929CB">
      <w:r>
        <w:separator/>
      </w:r>
    </w:p>
  </w:endnote>
  <w:endnote w:type="continuationSeparator" w:id="0">
    <w:p w:rsidR="00B929CB" w:rsidRDefault="00B92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C5C" w:rsidRPr="00757C5C" w:rsidRDefault="00724B3F" w:rsidP="00757C5C">
    <w:pPr>
      <w:jc w:val="center"/>
      <w:rPr>
        <w:rFonts w:ascii="Helvetica" w:eastAsia="Arial" w:hAnsi="Helvetica" w:cs="Helvetica"/>
        <w:color w:val="auto"/>
        <w:sz w:val="20"/>
        <w:szCs w:val="20"/>
      </w:rPr>
    </w:pPr>
    <w:r>
      <w:rPr>
        <w:rFonts w:ascii="Helvetica" w:hAnsi="Helvetica" w:cs="Helvetica"/>
        <w:color w:val="auto"/>
        <w:sz w:val="20"/>
        <w:szCs w:val="20"/>
        <w:shd w:val="clear" w:color="auto" w:fill="FFFFFF"/>
      </w:rPr>
      <w:t>2nd</w:t>
    </w:r>
    <w:r w:rsidR="00CB0CC6">
      <w:rPr>
        <w:rFonts w:ascii="Helvetica" w:hAnsi="Helvetica" w:cs="Helvetica"/>
        <w:color w:val="auto"/>
        <w:sz w:val="20"/>
        <w:szCs w:val="20"/>
        <w:shd w:val="clear" w:color="auto" w:fill="FFFFFF"/>
      </w:rPr>
      <w:t xml:space="preserve"> World Conference </w:t>
    </w:r>
    <w:r w:rsidR="00757C5C" w:rsidRPr="00757C5C">
      <w:rPr>
        <w:rFonts w:ascii="Helvetica" w:hAnsi="Helvetica" w:cs="Helvetica"/>
        <w:color w:val="auto"/>
        <w:sz w:val="20"/>
        <w:szCs w:val="20"/>
        <w:shd w:val="clear" w:color="auto" w:fill="FFFFFF"/>
      </w:rPr>
      <w:t>on Innovative Animal Nutrition and Feeding (WIANF)</w:t>
    </w:r>
    <w:r w:rsidR="007946AF" w:rsidRPr="00757C5C">
      <w:rPr>
        <w:rFonts w:ascii="Helvetica" w:eastAsia="Arial" w:hAnsi="Helvetica" w:cs="Helvetica"/>
        <w:color w:val="auto"/>
        <w:sz w:val="20"/>
        <w:szCs w:val="20"/>
      </w:rPr>
      <w:t>,</w:t>
    </w:r>
    <w:r w:rsidR="00381D09" w:rsidRPr="00757C5C">
      <w:rPr>
        <w:rFonts w:ascii="Helvetica" w:eastAsia="Arial" w:hAnsi="Helvetica" w:cs="Helvetica"/>
        <w:color w:val="auto"/>
        <w:sz w:val="20"/>
        <w:szCs w:val="20"/>
      </w:rPr>
      <w:t xml:space="preserve"> </w:t>
    </w:r>
    <w:r w:rsidR="00757C5C" w:rsidRPr="00757C5C">
      <w:rPr>
        <w:rFonts w:ascii="Helvetica" w:eastAsia="Arial" w:hAnsi="Helvetica" w:cs="Helvetica"/>
        <w:color w:val="auto"/>
        <w:sz w:val="20"/>
        <w:szCs w:val="20"/>
      </w:rPr>
      <w:t xml:space="preserve">Budapest, October </w:t>
    </w:r>
    <w:r>
      <w:rPr>
        <w:rFonts w:ascii="Helvetica" w:eastAsia="Arial" w:hAnsi="Helvetica" w:cs="Helvetica"/>
        <w:color w:val="auto"/>
        <w:sz w:val="20"/>
        <w:szCs w:val="20"/>
      </w:rPr>
      <w:t>18</w:t>
    </w:r>
    <w:r w:rsidR="00757C5C" w:rsidRPr="00757C5C">
      <w:rPr>
        <w:rFonts w:ascii="Helvetica" w:eastAsia="Arial" w:hAnsi="Helvetica" w:cs="Helvetica"/>
        <w:color w:val="auto"/>
        <w:sz w:val="20"/>
        <w:szCs w:val="20"/>
      </w:rPr>
      <w:t>–</w:t>
    </w:r>
    <w:r>
      <w:rPr>
        <w:rFonts w:ascii="Helvetica" w:eastAsia="Arial" w:hAnsi="Helvetica" w:cs="Helvetica"/>
        <w:color w:val="auto"/>
        <w:sz w:val="20"/>
        <w:szCs w:val="20"/>
      </w:rPr>
      <w:t>20</w:t>
    </w:r>
    <w:r w:rsidR="00757C5C" w:rsidRPr="00757C5C">
      <w:rPr>
        <w:rFonts w:ascii="Helvetica" w:eastAsia="Arial" w:hAnsi="Helvetica" w:cs="Helvetica"/>
        <w:color w:val="auto"/>
        <w:sz w:val="20"/>
        <w:szCs w:val="20"/>
      </w:rPr>
      <w:t>, 201</w:t>
    </w:r>
    <w:r>
      <w:rPr>
        <w:rFonts w:ascii="Helvetica" w:eastAsia="Arial" w:hAnsi="Helvetica" w:cs="Helvetica"/>
        <w:color w:val="auto"/>
        <w:sz w:val="20"/>
        <w:szCs w:val="20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9CB" w:rsidRDefault="00B929CB">
      <w:r>
        <w:separator/>
      </w:r>
    </w:p>
  </w:footnote>
  <w:footnote w:type="continuationSeparator" w:id="0">
    <w:p w:rsidR="00B929CB" w:rsidRDefault="00B92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6220C"/>
    <w:multiLevelType w:val="hybridMultilevel"/>
    <w:tmpl w:val="0CA69F5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85F5E"/>
    <w:multiLevelType w:val="hybridMultilevel"/>
    <w:tmpl w:val="BD7E3E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7589B"/>
    <w:rsid w:val="000A247C"/>
    <w:rsid w:val="000B10AB"/>
    <w:rsid w:val="000C10A9"/>
    <w:rsid w:val="000F0E69"/>
    <w:rsid w:val="00104EC3"/>
    <w:rsid w:val="00110130"/>
    <w:rsid w:val="00122B8F"/>
    <w:rsid w:val="001979CA"/>
    <w:rsid w:val="00242135"/>
    <w:rsid w:val="00253814"/>
    <w:rsid w:val="002E695B"/>
    <w:rsid w:val="0031171F"/>
    <w:rsid w:val="00342F26"/>
    <w:rsid w:val="00352124"/>
    <w:rsid w:val="00381D09"/>
    <w:rsid w:val="003A232A"/>
    <w:rsid w:val="003C540D"/>
    <w:rsid w:val="003C5F3E"/>
    <w:rsid w:val="003C7F33"/>
    <w:rsid w:val="003E3E6D"/>
    <w:rsid w:val="004F40B1"/>
    <w:rsid w:val="00515287"/>
    <w:rsid w:val="005C73AB"/>
    <w:rsid w:val="006563BB"/>
    <w:rsid w:val="0069326A"/>
    <w:rsid w:val="006A094B"/>
    <w:rsid w:val="00724B3F"/>
    <w:rsid w:val="00753BCE"/>
    <w:rsid w:val="00757C5C"/>
    <w:rsid w:val="007630C9"/>
    <w:rsid w:val="007946AF"/>
    <w:rsid w:val="007A05C0"/>
    <w:rsid w:val="008015B3"/>
    <w:rsid w:val="008119F3"/>
    <w:rsid w:val="008253A5"/>
    <w:rsid w:val="00856600"/>
    <w:rsid w:val="0086776D"/>
    <w:rsid w:val="008F6ACE"/>
    <w:rsid w:val="00940F9A"/>
    <w:rsid w:val="00962A1A"/>
    <w:rsid w:val="00967CE3"/>
    <w:rsid w:val="00994095"/>
    <w:rsid w:val="009A31A5"/>
    <w:rsid w:val="009C3650"/>
    <w:rsid w:val="009E0B26"/>
    <w:rsid w:val="00A353A9"/>
    <w:rsid w:val="00A5077D"/>
    <w:rsid w:val="00A77B3E"/>
    <w:rsid w:val="00AF786B"/>
    <w:rsid w:val="00B17A4B"/>
    <w:rsid w:val="00B8787F"/>
    <w:rsid w:val="00B929CB"/>
    <w:rsid w:val="00BF3E60"/>
    <w:rsid w:val="00C108A8"/>
    <w:rsid w:val="00C17A7D"/>
    <w:rsid w:val="00C26452"/>
    <w:rsid w:val="00C74637"/>
    <w:rsid w:val="00C95EF4"/>
    <w:rsid w:val="00CB0CC6"/>
    <w:rsid w:val="00CC414F"/>
    <w:rsid w:val="00CE6772"/>
    <w:rsid w:val="00D0152E"/>
    <w:rsid w:val="00D442DE"/>
    <w:rsid w:val="00D55D46"/>
    <w:rsid w:val="00D75F20"/>
    <w:rsid w:val="00D84192"/>
    <w:rsid w:val="00DA4C06"/>
    <w:rsid w:val="00DB65B2"/>
    <w:rsid w:val="00DD11E0"/>
    <w:rsid w:val="00DF1987"/>
    <w:rsid w:val="00E17F05"/>
    <w:rsid w:val="00E521E7"/>
    <w:rsid w:val="00E60F51"/>
    <w:rsid w:val="00E823C6"/>
    <w:rsid w:val="00F40BCC"/>
    <w:rsid w:val="00F4614D"/>
    <w:rsid w:val="00F553ED"/>
    <w:rsid w:val="00F707F8"/>
    <w:rsid w:val="00F90E5D"/>
    <w:rsid w:val="00FC6089"/>
    <w:rsid w:val="00FE20BC"/>
    <w:rsid w:val="00FF35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1AAF0A"/>
  <w15:docId w15:val="{5ED14941-9556-41F9-BFE3-40629752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7A05C0"/>
    <w:rPr>
      <w:color w:val="000000"/>
      <w:sz w:val="24"/>
      <w:szCs w:val="24"/>
      <w:lang w:val="en-GB" w:eastAsia="en-GB"/>
    </w:rPr>
  </w:style>
  <w:style w:type="paragraph" w:styleId="Kop1">
    <w:name w:val="heading 1"/>
    <w:basedOn w:val="Standaard"/>
    <w:next w:val="Standaard"/>
    <w:qFormat/>
    <w:rsid w:val="00EF7B96"/>
    <w:pPr>
      <w:jc w:val="center"/>
      <w:outlineLvl w:val="0"/>
    </w:pPr>
    <w:rPr>
      <w:b/>
      <w:bCs/>
    </w:rPr>
  </w:style>
  <w:style w:type="paragraph" w:styleId="Kop2">
    <w:name w:val="heading 2"/>
    <w:basedOn w:val="Standaard"/>
    <w:next w:val="Standaard"/>
    <w:qFormat/>
    <w:rsid w:val="00EF7B96"/>
    <w:pPr>
      <w:outlineLvl w:val="1"/>
    </w:pPr>
    <w:rPr>
      <w:b/>
      <w:bCs/>
    </w:rPr>
  </w:style>
  <w:style w:type="paragraph" w:styleId="Kop3">
    <w:name w:val="heading 3"/>
    <w:basedOn w:val="Standaard"/>
    <w:next w:val="Standaard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rsid w:val="00BF3E60"/>
    <w:pPr>
      <w:tabs>
        <w:tab w:val="center" w:pos="4513"/>
        <w:tab w:val="right" w:pos="9026"/>
      </w:tabs>
    </w:pPr>
  </w:style>
  <w:style w:type="character" w:customStyle="1" w:styleId="KoptekstChar">
    <w:name w:val="Koptekst Char"/>
    <w:link w:val="Koptekst"/>
    <w:rsid w:val="00BF3E60"/>
    <w:rPr>
      <w:color w:val="000000"/>
      <w:sz w:val="24"/>
      <w:szCs w:val="24"/>
    </w:rPr>
  </w:style>
  <w:style w:type="paragraph" w:styleId="Voettekst">
    <w:name w:val="footer"/>
    <w:basedOn w:val="Standaard"/>
    <w:link w:val="VoettekstChar"/>
    <w:rsid w:val="00BF3E60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link w:val="Voettekst"/>
    <w:rsid w:val="00BF3E60"/>
    <w:rPr>
      <w:color w:val="000000"/>
      <w:sz w:val="24"/>
      <w:szCs w:val="24"/>
    </w:rPr>
  </w:style>
  <w:style w:type="character" w:styleId="Hyperlink">
    <w:name w:val="Hyperlink"/>
    <w:basedOn w:val="Standaardalinea-lettertype"/>
    <w:rsid w:val="003A232A"/>
    <w:rPr>
      <w:color w:val="0563C1" w:themeColor="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3A232A"/>
    <w:rPr>
      <w:color w:val="808080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AF786B"/>
    <w:pPr>
      <w:ind w:left="720"/>
      <w:contextualSpacing/>
    </w:pPr>
  </w:style>
  <w:style w:type="paragraph" w:styleId="Ballontekst">
    <w:name w:val="Balloon Text"/>
    <w:basedOn w:val="Standaard"/>
    <w:link w:val="BallontekstChar"/>
    <w:rsid w:val="00962A1A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962A1A"/>
    <w:rPr>
      <w:rFonts w:ascii="Tahoma" w:hAnsi="Tahoma" w:cs="Tahoma"/>
      <w:color w:val="000000"/>
      <w:sz w:val="16"/>
      <w:szCs w:val="16"/>
      <w:lang w:val="en-GB" w:eastAsia="en-GB"/>
    </w:rPr>
  </w:style>
  <w:style w:type="paragraph" w:customStyle="1" w:styleId="EndNoteBibliography">
    <w:name w:val="EndNote Bibliography"/>
    <w:basedOn w:val="Standaard"/>
    <w:link w:val="EndNoteBibliographyChar"/>
    <w:rsid w:val="00FC6089"/>
    <w:pPr>
      <w:bidi/>
      <w:spacing w:after="200"/>
      <w:jc w:val="right"/>
    </w:pPr>
    <w:rPr>
      <w:rFonts w:ascii="Calibri" w:eastAsiaTheme="minorHAnsi" w:hAnsi="Calibri" w:cs="Calibri"/>
      <w:noProof/>
      <w:color w:val="auto"/>
      <w:sz w:val="22"/>
      <w:szCs w:val="22"/>
      <w:lang w:val="en-US" w:eastAsia="en-US" w:bidi="fa-IR"/>
    </w:rPr>
  </w:style>
  <w:style w:type="character" w:customStyle="1" w:styleId="EndNoteBibliographyChar">
    <w:name w:val="EndNote Bibliography Char"/>
    <w:basedOn w:val="Standaardalinea-lettertype"/>
    <w:link w:val="EndNoteBibliography"/>
    <w:rsid w:val="00FC6089"/>
    <w:rPr>
      <w:rFonts w:ascii="Calibri" w:eastAsiaTheme="minorHAnsi" w:hAnsi="Calibri" w:cs="Calibri"/>
      <w:noProof/>
      <w:sz w:val="22"/>
      <w:szCs w:val="22"/>
      <w:lang w:val="en-US" w:eastAsia="en-US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2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298</Words>
  <Characters>1644</Characters>
  <Application>Microsoft Office Word</Application>
  <DocSecurity>0</DocSecurity>
  <Lines>13</Lines>
  <Paragraphs>3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>The University of Liverpool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Rhodes, Nick</dc:creator>
  <cp:lastModifiedBy>joris</cp:lastModifiedBy>
  <cp:revision>4</cp:revision>
  <cp:lastPrinted>2017-06-28T09:05:00Z</cp:lastPrinted>
  <dcterms:created xsi:type="dcterms:W3CDTF">2017-10-28T08:28:00Z</dcterms:created>
  <dcterms:modified xsi:type="dcterms:W3CDTF">2017-10-29T08:00:00Z</dcterms:modified>
</cp:coreProperties>
</file>