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B73" w:rsidRDefault="00066B73">
      <w:bookmarkStart w:id="0" w:name="_GoBack"/>
      <w:bookmarkEnd w:id="0"/>
    </w:p>
    <w:p w:rsidR="006441D6" w:rsidRPr="00F91CF6" w:rsidRDefault="006441D6" w:rsidP="006441D6">
      <w:pPr>
        <w:spacing w:line="240" w:lineRule="auto"/>
        <w:jc w:val="both"/>
        <w:rPr>
          <w:rFonts w:ascii="Times New Roman" w:hAnsi="Times New Roman" w:cs="Times New Roman"/>
          <w:sz w:val="20"/>
          <w:szCs w:val="20"/>
        </w:rPr>
      </w:pPr>
      <w:r>
        <w:rPr>
          <w:rFonts w:ascii="Times New Roman" w:hAnsi="Times New Roman" w:cs="Times New Roman"/>
          <w:sz w:val="20"/>
          <w:szCs w:val="20"/>
        </w:rPr>
        <w:t>Advantages and disadvantages of coccidiosis control programs in poultry and the invention of a new comprehensive protocol</w:t>
      </w:r>
    </w:p>
    <w:p w:rsidR="006441D6" w:rsidRPr="00F91CF6" w:rsidRDefault="006441D6" w:rsidP="006441D6">
      <w:pPr>
        <w:spacing w:line="240" w:lineRule="auto"/>
        <w:jc w:val="both"/>
        <w:rPr>
          <w:rFonts w:ascii="Times New Roman" w:hAnsi="Times New Roman" w:cs="Times New Roman"/>
          <w:sz w:val="20"/>
          <w:szCs w:val="20"/>
        </w:rPr>
      </w:pPr>
      <w:r w:rsidRPr="00F91CF6">
        <w:rPr>
          <w:rFonts w:ascii="Times New Roman" w:hAnsi="Times New Roman" w:cs="Times New Roman"/>
          <w:sz w:val="20"/>
          <w:szCs w:val="20"/>
        </w:rPr>
        <w:t>E. Barbour</w:t>
      </w:r>
      <w:r w:rsidRPr="00F91CF6">
        <w:rPr>
          <w:rFonts w:ascii="Times New Roman" w:hAnsi="Times New Roman" w:cs="Times New Roman"/>
          <w:sz w:val="20"/>
          <w:szCs w:val="20"/>
          <w:vertAlign w:val="superscript"/>
        </w:rPr>
        <w:t>1</w:t>
      </w:r>
      <w:r w:rsidRPr="00F91CF6">
        <w:rPr>
          <w:rFonts w:ascii="Times New Roman" w:hAnsi="Times New Roman" w:cs="Times New Roman"/>
          <w:sz w:val="20"/>
          <w:szCs w:val="20"/>
        </w:rPr>
        <w:t>, H. Shaib</w:t>
      </w:r>
      <w:r w:rsidRPr="00F91CF6">
        <w:rPr>
          <w:rFonts w:ascii="Times New Roman" w:hAnsi="Times New Roman" w:cs="Times New Roman"/>
          <w:sz w:val="20"/>
          <w:szCs w:val="20"/>
          <w:vertAlign w:val="superscript"/>
        </w:rPr>
        <w:t>1</w:t>
      </w:r>
      <w:r w:rsidRPr="00F91CF6">
        <w:rPr>
          <w:rFonts w:ascii="Times New Roman" w:hAnsi="Times New Roman" w:cs="Times New Roman"/>
          <w:sz w:val="20"/>
          <w:szCs w:val="20"/>
        </w:rPr>
        <w:t>, L. Van Waeyenberghe</w:t>
      </w:r>
      <w:r w:rsidRPr="00F91CF6">
        <w:rPr>
          <w:rFonts w:ascii="Times New Roman" w:hAnsi="Times New Roman" w:cs="Times New Roman"/>
          <w:sz w:val="20"/>
          <w:szCs w:val="20"/>
          <w:vertAlign w:val="superscript"/>
        </w:rPr>
        <w:t>2</w:t>
      </w:r>
      <w:r w:rsidRPr="00F91CF6">
        <w:rPr>
          <w:rFonts w:ascii="Times New Roman" w:hAnsi="Times New Roman" w:cs="Times New Roman"/>
          <w:sz w:val="20"/>
          <w:szCs w:val="20"/>
        </w:rPr>
        <w:t>, N. Kurkure</w:t>
      </w:r>
      <w:r w:rsidRPr="00F91CF6">
        <w:rPr>
          <w:rFonts w:ascii="Times New Roman" w:hAnsi="Times New Roman" w:cs="Times New Roman"/>
          <w:sz w:val="20"/>
          <w:szCs w:val="20"/>
          <w:vertAlign w:val="superscript"/>
        </w:rPr>
        <w:t>3</w:t>
      </w:r>
      <w:r w:rsidRPr="00F91CF6">
        <w:rPr>
          <w:rFonts w:ascii="Times New Roman" w:hAnsi="Times New Roman" w:cs="Times New Roman"/>
          <w:sz w:val="20"/>
          <w:szCs w:val="20"/>
        </w:rPr>
        <w:t>, E. Matyas</w:t>
      </w:r>
      <w:r w:rsidRPr="00F91CF6">
        <w:rPr>
          <w:rFonts w:ascii="Times New Roman" w:hAnsi="Times New Roman" w:cs="Times New Roman"/>
          <w:sz w:val="20"/>
          <w:szCs w:val="20"/>
          <w:vertAlign w:val="superscript"/>
        </w:rPr>
        <w:t>4</w:t>
      </w:r>
      <w:r w:rsidRPr="00F91CF6">
        <w:rPr>
          <w:rFonts w:ascii="Times New Roman" w:hAnsi="Times New Roman" w:cs="Times New Roman"/>
          <w:sz w:val="20"/>
          <w:szCs w:val="20"/>
        </w:rPr>
        <w:t>, I. Arpaci</w:t>
      </w:r>
      <w:r w:rsidRPr="00F91CF6">
        <w:rPr>
          <w:rFonts w:ascii="Times New Roman" w:hAnsi="Times New Roman" w:cs="Times New Roman"/>
          <w:sz w:val="20"/>
          <w:szCs w:val="20"/>
          <w:vertAlign w:val="superscript"/>
        </w:rPr>
        <w:t>5</w:t>
      </w:r>
      <w:r w:rsidRPr="00F91CF6">
        <w:rPr>
          <w:rFonts w:ascii="Times New Roman" w:hAnsi="Times New Roman" w:cs="Times New Roman"/>
          <w:sz w:val="20"/>
          <w:szCs w:val="20"/>
        </w:rPr>
        <w:t>, T. Kumosani</w:t>
      </w:r>
      <w:r w:rsidRPr="00F91CF6">
        <w:rPr>
          <w:rFonts w:ascii="Times New Roman" w:hAnsi="Times New Roman" w:cs="Times New Roman"/>
          <w:sz w:val="20"/>
          <w:szCs w:val="20"/>
          <w:vertAlign w:val="superscript"/>
        </w:rPr>
        <w:t>6</w:t>
      </w:r>
      <w:r w:rsidRPr="00F91CF6">
        <w:rPr>
          <w:rFonts w:ascii="Times New Roman" w:hAnsi="Times New Roman" w:cs="Times New Roman"/>
          <w:sz w:val="20"/>
          <w:szCs w:val="20"/>
        </w:rPr>
        <w:t>, U. Truyen</w:t>
      </w:r>
      <w:r w:rsidRPr="00F91CF6">
        <w:rPr>
          <w:rFonts w:ascii="Times New Roman" w:hAnsi="Times New Roman" w:cs="Times New Roman"/>
          <w:sz w:val="20"/>
          <w:szCs w:val="20"/>
          <w:vertAlign w:val="superscript"/>
        </w:rPr>
        <w:t>7</w:t>
      </w:r>
      <w:r w:rsidRPr="00F91CF6">
        <w:rPr>
          <w:rFonts w:ascii="Times New Roman" w:hAnsi="Times New Roman" w:cs="Times New Roman"/>
          <w:sz w:val="20"/>
          <w:szCs w:val="20"/>
        </w:rPr>
        <w:t>, R. Sultan</w:t>
      </w:r>
      <w:r w:rsidRPr="00F91CF6">
        <w:rPr>
          <w:rFonts w:ascii="Times New Roman" w:hAnsi="Times New Roman" w:cs="Times New Roman"/>
          <w:sz w:val="20"/>
          <w:szCs w:val="20"/>
          <w:vertAlign w:val="superscript"/>
        </w:rPr>
        <w:t>8</w:t>
      </w:r>
      <w:r w:rsidRPr="00F91CF6">
        <w:rPr>
          <w:rFonts w:ascii="Times New Roman" w:hAnsi="Times New Roman" w:cs="Times New Roman"/>
          <w:sz w:val="20"/>
          <w:szCs w:val="20"/>
        </w:rPr>
        <w:t>, and W. Krull</w:t>
      </w:r>
      <w:r w:rsidRPr="00F91CF6">
        <w:rPr>
          <w:rFonts w:ascii="Times New Roman" w:hAnsi="Times New Roman" w:cs="Times New Roman"/>
          <w:sz w:val="20"/>
          <w:szCs w:val="20"/>
          <w:vertAlign w:val="superscript"/>
        </w:rPr>
        <w:t>9</w:t>
      </w:r>
    </w:p>
    <w:p w:rsidR="006441D6" w:rsidRPr="00F91CF6" w:rsidRDefault="006441D6" w:rsidP="006441D6">
      <w:pPr>
        <w:spacing w:line="240" w:lineRule="auto"/>
        <w:jc w:val="both"/>
        <w:rPr>
          <w:rFonts w:ascii="Times New Roman" w:hAnsi="Times New Roman" w:cs="Times New Roman"/>
          <w:sz w:val="20"/>
          <w:szCs w:val="20"/>
        </w:rPr>
      </w:pPr>
      <w:r w:rsidRPr="00F91CF6">
        <w:rPr>
          <w:rFonts w:ascii="Times New Roman" w:hAnsi="Times New Roman" w:cs="Times New Roman"/>
          <w:sz w:val="20"/>
          <w:szCs w:val="20"/>
          <w:vertAlign w:val="superscript"/>
        </w:rPr>
        <w:t>1</w:t>
      </w:r>
      <w:r w:rsidRPr="00F91CF6">
        <w:rPr>
          <w:rFonts w:ascii="Times New Roman" w:hAnsi="Times New Roman" w:cs="Times New Roman"/>
          <w:sz w:val="20"/>
          <w:szCs w:val="20"/>
        </w:rPr>
        <w:t>Department of R &amp; D</w:t>
      </w:r>
      <w:r>
        <w:rPr>
          <w:rFonts w:ascii="Times New Roman" w:hAnsi="Times New Roman" w:cs="Times New Roman"/>
          <w:sz w:val="20"/>
          <w:szCs w:val="20"/>
        </w:rPr>
        <w:t xml:space="preserve">, </w:t>
      </w:r>
      <w:proofErr w:type="spellStart"/>
      <w:r>
        <w:rPr>
          <w:rFonts w:ascii="Times New Roman" w:hAnsi="Times New Roman" w:cs="Times New Roman"/>
          <w:sz w:val="20"/>
          <w:szCs w:val="20"/>
        </w:rPr>
        <w:t>Opticon</w:t>
      </w:r>
      <w:proofErr w:type="spellEnd"/>
      <w:r>
        <w:rPr>
          <w:rFonts w:ascii="Times New Roman" w:hAnsi="Times New Roman" w:cs="Times New Roman"/>
          <w:sz w:val="20"/>
          <w:szCs w:val="20"/>
        </w:rPr>
        <w:t xml:space="preserve"> Co., Switzerland; </w:t>
      </w:r>
      <w:r w:rsidRPr="00F91CF6">
        <w:rPr>
          <w:rFonts w:ascii="Times New Roman" w:hAnsi="Times New Roman" w:cs="Times New Roman"/>
          <w:sz w:val="20"/>
          <w:szCs w:val="20"/>
        </w:rPr>
        <w:t xml:space="preserve">Distinguished Professor at Biochemistry Department, King </w:t>
      </w:r>
      <w:proofErr w:type="spellStart"/>
      <w:r w:rsidRPr="00F91CF6">
        <w:rPr>
          <w:rFonts w:ascii="Times New Roman" w:hAnsi="Times New Roman" w:cs="Times New Roman"/>
          <w:sz w:val="20"/>
          <w:szCs w:val="20"/>
        </w:rPr>
        <w:t>Abdulaziz</w:t>
      </w:r>
      <w:proofErr w:type="spellEnd"/>
      <w:r w:rsidRPr="00F91CF6">
        <w:rPr>
          <w:rFonts w:ascii="Times New Roman" w:hAnsi="Times New Roman" w:cs="Times New Roman"/>
          <w:sz w:val="20"/>
          <w:szCs w:val="20"/>
        </w:rPr>
        <w:t xml:space="preserve"> University, Jeddah, Kingdom of Saudi Arabia (KSA);</w:t>
      </w:r>
      <w:r>
        <w:rPr>
          <w:rFonts w:ascii="Times New Roman" w:hAnsi="Times New Roman" w:cs="Times New Roman"/>
          <w:sz w:val="20"/>
          <w:szCs w:val="20"/>
        </w:rPr>
        <w:t xml:space="preserve"> American University of Beirut;</w:t>
      </w:r>
      <w:r w:rsidRPr="00F91CF6">
        <w:rPr>
          <w:rFonts w:ascii="Times New Roman" w:hAnsi="Times New Roman" w:cs="Times New Roman"/>
          <w:sz w:val="20"/>
          <w:szCs w:val="20"/>
        </w:rPr>
        <w:t xml:space="preserve"> </w:t>
      </w:r>
      <w:r w:rsidRPr="00F91CF6">
        <w:rPr>
          <w:rFonts w:ascii="Times New Roman" w:hAnsi="Times New Roman" w:cs="Times New Roman"/>
          <w:sz w:val="20"/>
          <w:szCs w:val="20"/>
          <w:vertAlign w:val="superscript"/>
        </w:rPr>
        <w:t>2</w:t>
      </w:r>
      <w:r w:rsidRPr="00F91CF6">
        <w:rPr>
          <w:rFonts w:ascii="Times New Roman" w:hAnsi="Times New Roman" w:cs="Times New Roman"/>
          <w:sz w:val="20"/>
          <w:szCs w:val="20"/>
        </w:rPr>
        <w:t xml:space="preserve">Poulpharm BVBA, Belgium; </w:t>
      </w:r>
      <w:r w:rsidRPr="00F91CF6">
        <w:rPr>
          <w:rFonts w:ascii="Times New Roman" w:hAnsi="Times New Roman" w:cs="Times New Roman"/>
          <w:sz w:val="20"/>
          <w:szCs w:val="20"/>
          <w:vertAlign w:val="superscript"/>
        </w:rPr>
        <w:t>3</w:t>
      </w:r>
      <w:r w:rsidRPr="00F91CF6">
        <w:rPr>
          <w:rFonts w:ascii="Times New Roman" w:hAnsi="Times New Roman" w:cs="Times New Roman"/>
          <w:sz w:val="20"/>
          <w:szCs w:val="20"/>
        </w:rPr>
        <w:t xml:space="preserve">Nagpar Veterinary College, India; </w:t>
      </w:r>
      <w:r w:rsidRPr="00F91CF6">
        <w:rPr>
          <w:rFonts w:ascii="Times New Roman" w:hAnsi="Times New Roman" w:cs="Times New Roman"/>
          <w:sz w:val="20"/>
          <w:szCs w:val="20"/>
          <w:vertAlign w:val="superscript"/>
        </w:rPr>
        <w:t>4</w:t>
      </w:r>
      <w:r w:rsidRPr="00F91CF6">
        <w:rPr>
          <w:rFonts w:ascii="Times New Roman" w:hAnsi="Times New Roman" w:cs="Times New Roman"/>
          <w:sz w:val="20"/>
          <w:szCs w:val="20"/>
        </w:rPr>
        <w:t xml:space="preserve">Dremax </w:t>
      </w:r>
      <w:proofErr w:type="spellStart"/>
      <w:r w:rsidRPr="00F91CF6">
        <w:rPr>
          <w:rFonts w:ascii="Times New Roman" w:hAnsi="Times New Roman" w:cs="Times New Roman"/>
          <w:sz w:val="20"/>
          <w:szCs w:val="20"/>
        </w:rPr>
        <w:t>kft</w:t>
      </w:r>
      <w:proofErr w:type="spellEnd"/>
      <w:r w:rsidRPr="00F91CF6">
        <w:rPr>
          <w:rFonts w:ascii="Times New Roman" w:hAnsi="Times New Roman" w:cs="Times New Roman"/>
          <w:sz w:val="20"/>
          <w:szCs w:val="20"/>
        </w:rPr>
        <w:t xml:space="preserve">, Hungary; </w:t>
      </w:r>
      <w:r w:rsidRPr="00F91CF6">
        <w:rPr>
          <w:rFonts w:ascii="Times New Roman" w:hAnsi="Times New Roman" w:cs="Times New Roman"/>
          <w:sz w:val="20"/>
          <w:szCs w:val="20"/>
          <w:vertAlign w:val="superscript"/>
        </w:rPr>
        <w:t>5</w:t>
      </w:r>
      <w:r w:rsidRPr="00F91CF6">
        <w:rPr>
          <w:rFonts w:ascii="Times New Roman" w:hAnsi="Times New Roman" w:cs="Times New Roman"/>
          <w:sz w:val="20"/>
          <w:szCs w:val="20"/>
        </w:rPr>
        <w:t xml:space="preserve">ANC </w:t>
      </w:r>
      <w:proofErr w:type="spellStart"/>
      <w:r w:rsidRPr="00F91CF6">
        <w:rPr>
          <w:rFonts w:ascii="Times New Roman" w:hAnsi="Times New Roman" w:cs="Times New Roman"/>
          <w:sz w:val="20"/>
          <w:szCs w:val="20"/>
        </w:rPr>
        <w:t>Hayvan</w:t>
      </w:r>
      <w:proofErr w:type="spellEnd"/>
      <w:r w:rsidRPr="00F91CF6">
        <w:rPr>
          <w:rFonts w:ascii="Times New Roman" w:hAnsi="Times New Roman" w:cs="Times New Roman"/>
          <w:sz w:val="20"/>
          <w:szCs w:val="20"/>
        </w:rPr>
        <w:t xml:space="preserve">, Turkey; </w:t>
      </w:r>
      <w:r w:rsidRPr="00F91CF6">
        <w:rPr>
          <w:rFonts w:ascii="Times New Roman" w:hAnsi="Times New Roman" w:cs="Times New Roman"/>
          <w:sz w:val="20"/>
          <w:szCs w:val="20"/>
          <w:vertAlign w:val="superscript"/>
        </w:rPr>
        <w:t>6</w:t>
      </w:r>
      <w:r w:rsidRPr="00F91CF6">
        <w:rPr>
          <w:rFonts w:ascii="Times New Roman" w:hAnsi="Times New Roman" w:cs="Times New Roman"/>
          <w:sz w:val="20"/>
          <w:szCs w:val="20"/>
        </w:rPr>
        <w:t xml:space="preserve">King </w:t>
      </w:r>
      <w:proofErr w:type="spellStart"/>
      <w:r w:rsidRPr="00F91CF6">
        <w:rPr>
          <w:rFonts w:ascii="Times New Roman" w:hAnsi="Times New Roman" w:cs="Times New Roman"/>
          <w:sz w:val="20"/>
          <w:szCs w:val="20"/>
        </w:rPr>
        <w:t>Abdulaziz</w:t>
      </w:r>
      <w:proofErr w:type="spellEnd"/>
      <w:r w:rsidRPr="00F91CF6">
        <w:rPr>
          <w:rFonts w:ascii="Times New Roman" w:hAnsi="Times New Roman" w:cs="Times New Roman"/>
          <w:sz w:val="20"/>
          <w:szCs w:val="20"/>
        </w:rPr>
        <w:t xml:space="preserve"> University, KSA; </w:t>
      </w:r>
      <w:r w:rsidRPr="00F91CF6">
        <w:rPr>
          <w:rFonts w:ascii="Times New Roman" w:hAnsi="Times New Roman" w:cs="Times New Roman"/>
          <w:sz w:val="20"/>
          <w:szCs w:val="20"/>
          <w:vertAlign w:val="superscript"/>
        </w:rPr>
        <w:t>7</w:t>
      </w:r>
      <w:r w:rsidRPr="00F91CF6">
        <w:rPr>
          <w:rFonts w:ascii="Times New Roman" w:hAnsi="Times New Roman" w:cs="Times New Roman"/>
          <w:sz w:val="20"/>
          <w:szCs w:val="20"/>
        </w:rPr>
        <w:t xml:space="preserve">Leipzig University, Germany; </w:t>
      </w:r>
      <w:r w:rsidRPr="00F91CF6">
        <w:rPr>
          <w:rFonts w:ascii="Times New Roman" w:hAnsi="Times New Roman" w:cs="Times New Roman"/>
          <w:sz w:val="20"/>
          <w:szCs w:val="20"/>
          <w:vertAlign w:val="superscript"/>
        </w:rPr>
        <w:t>8</w:t>
      </w:r>
      <w:r w:rsidRPr="00F91CF6">
        <w:rPr>
          <w:rFonts w:ascii="Times New Roman" w:hAnsi="Times New Roman" w:cs="Times New Roman"/>
          <w:sz w:val="20"/>
          <w:szCs w:val="20"/>
        </w:rPr>
        <w:t xml:space="preserve">University of Veterinary and Animal Sciences, Pakistan; </w:t>
      </w:r>
      <w:r w:rsidRPr="00F91CF6">
        <w:rPr>
          <w:rFonts w:ascii="Times New Roman" w:hAnsi="Times New Roman" w:cs="Times New Roman"/>
          <w:sz w:val="20"/>
          <w:szCs w:val="20"/>
          <w:vertAlign w:val="superscript"/>
        </w:rPr>
        <w:t>9</w:t>
      </w:r>
      <w:r w:rsidRPr="00F91CF6">
        <w:rPr>
          <w:rFonts w:ascii="Times New Roman" w:hAnsi="Times New Roman" w:cs="Times New Roman"/>
          <w:sz w:val="20"/>
          <w:szCs w:val="20"/>
        </w:rPr>
        <w:t>Opticon Co., Wil, Switzerland</w:t>
      </w:r>
    </w:p>
    <w:p w:rsidR="006441D6" w:rsidRPr="00F91CF6" w:rsidRDefault="006441D6" w:rsidP="006441D6">
      <w:pPr>
        <w:spacing w:line="240" w:lineRule="auto"/>
        <w:jc w:val="both"/>
        <w:rPr>
          <w:rFonts w:ascii="Times New Roman" w:hAnsi="Times New Roman" w:cs="Times New Roman"/>
          <w:sz w:val="20"/>
          <w:szCs w:val="20"/>
        </w:rPr>
      </w:pPr>
      <w:r w:rsidRPr="00F91CF6">
        <w:rPr>
          <w:rFonts w:ascii="Times New Roman" w:hAnsi="Times New Roman" w:cs="Times New Roman"/>
          <w:sz w:val="20"/>
          <w:szCs w:val="20"/>
        </w:rPr>
        <w:t xml:space="preserve">The evaluation of the control programs of coccidiosis in poultry will include their advantages and disadvantages, based on literature from different parts of the world. The </w:t>
      </w:r>
      <w:r>
        <w:rPr>
          <w:rFonts w:ascii="Times New Roman" w:hAnsi="Times New Roman" w:cs="Times New Roman"/>
          <w:sz w:val="20"/>
          <w:szCs w:val="20"/>
        </w:rPr>
        <w:t>presented</w:t>
      </w:r>
      <w:r w:rsidRPr="00F91CF6">
        <w:rPr>
          <w:rFonts w:ascii="Times New Roman" w:hAnsi="Times New Roman" w:cs="Times New Roman"/>
          <w:sz w:val="20"/>
          <w:szCs w:val="20"/>
        </w:rPr>
        <w:t xml:space="preserve"> control programs will include house management, vaccines, and the approach of </w:t>
      </w:r>
      <w:proofErr w:type="spellStart"/>
      <w:r w:rsidRPr="00F91CF6">
        <w:rPr>
          <w:rFonts w:ascii="Times New Roman" w:hAnsi="Times New Roman" w:cs="Times New Roman"/>
          <w:sz w:val="20"/>
          <w:szCs w:val="20"/>
        </w:rPr>
        <w:t>coccidiostat</w:t>
      </w:r>
      <w:proofErr w:type="spellEnd"/>
      <w:r w:rsidRPr="00F91CF6">
        <w:rPr>
          <w:rFonts w:ascii="Times New Roman" w:hAnsi="Times New Roman" w:cs="Times New Roman"/>
          <w:sz w:val="20"/>
          <w:szCs w:val="20"/>
        </w:rPr>
        <w:t>-inclusion in feed.  A global data, accomplished in nine countries, aim</w:t>
      </w:r>
      <w:r>
        <w:rPr>
          <w:rFonts w:ascii="Times New Roman" w:hAnsi="Times New Roman" w:cs="Times New Roman"/>
          <w:sz w:val="20"/>
          <w:szCs w:val="20"/>
        </w:rPr>
        <w:t>ed at replacement of commercial</w:t>
      </w:r>
      <w:r w:rsidRPr="00F91CF6">
        <w:rPr>
          <w:rFonts w:ascii="Times New Roman" w:hAnsi="Times New Roman" w:cs="Times New Roman"/>
          <w:sz w:val="20"/>
          <w:szCs w:val="20"/>
        </w:rPr>
        <w:t xml:space="preserve"> poultry </w:t>
      </w:r>
      <w:proofErr w:type="spellStart"/>
      <w:r w:rsidRPr="00F91CF6">
        <w:rPr>
          <w:rFonts w:ascii="Times New Roman" w:hAnsi="Times New Roman" w:cs="Times New Roman"/>
          <w:sz w:val="20"/>
          <w:szCs w:val="20"/>
        </w:rPr>
        <w:t>coccidiostats</w:t>
      </w:r>
      <w:proofErr w:type="spellEnd"/>
      <w:r w:rsidRPr="00F91CF6">
        <w:rPr>
          <w:rFonts w:ascii="Times New Roman" w:hAnsi="Times New Roman" w:cs="Times New Roman"/>
          <w:sz w:val="20"/>
          <w:szCs w:val="20"/>
        </w:rPr>
        <w:t xml:space="preserve"> by an invented comprehensive dual approach of decontaminating poultry barns by an invented Wide Spectrum Disinfectant (WSD) and intermittent supplementation of drinking water with an emulsion of natural Essential Oil Blend in Water Extract (EOBWE) of plants. The first six trials were concluded in isolation unit facilities and laboratories and the other four were field trials. The first six trials had different objectives including, studying the protection against coccidiosis by intermittent or continuous administration of EOBWE in drinking water against controlled challenge by </w:t>
      </w:r>
      <w:proofErr w:type="spellStart"/>
      <w:r w:rsidRPr="00F91CF6">
        <w:rPr>
          <w:rFonts w:ascii="Times New Roman" w:hAnsi="Times New Roman" w:cs="Times New Roman"/>
          <w:sz w:val="20"/>
          <w:szCs w:val="20"/>
        </w:rPr>
        <w:t>sporulated</w:t>
      </w:r>
      <w:proofErr w:type="spellEnd"/>
      <w:r w:rsidRPr="00F91CF6">
        <w:rPr>
          <w:rFonts w:ascii="Times New Roman" w:hAnsi="Times New Roman" w:cs="Times New Roman"/>
          <w:sz w:val="20"/>
          <w:szCs w:val="20"/>
        </w:rPr>
        <w:t xml:space="preserve"> </w:t>
      </w:r>
      <w:proofErr w:type="spellStart"/>
      <w:r w:rsidRPr="00F91CF6">
        <w:rPr>
          <w:rFonts w:ascii="Times New Roman" w:hAnsi="Times New Roman" w:cs="Times New Roman"/>
          <w:sz w:val="20"/>
          <w:szCs w:val="20"/>
        </w:rPr>
        <w:t>oocyctes</w:t>
      </w:r>
      <w:proofErr w:type="spellEnd"/>
      <w:r w:rsidRPr="00F91CF6">
        <w:rPr>
          <w:rFonts w:ascii="Times New Roman" w:hAnsi="Times New Roman" w:cs="Times New Roman"/>
          <w:sz w:val="20"/>
          <w:szCs w:val="20"/>
        </w:rPr>
        <w:t xml:space="preserve"> of </w:t>
      </w:r>
      <w:proofErr w:type="spellStart"/>
      <w:r w:rsidRPr="00F91CF6">
        <w:rPr>
          <w:rFonts w:ascii="Times New Roman" w:hAnsi="Times New Roman" w:cs="Times New Roman"/>
          <w:i/>
          <w:iCs/>
          <w:sz w:val="20"/>
          <w:szCs w:val="20"/>
        </w:rPr>
        <w:t>Eimeri</w:t>
      </w:r>
      <w:r w:rsidRPr="00F91CF6">
        <w:rPr>
          <w:rFonts w:ascii="Times New Roman" w:hAnsi="Times New Roman" w:cs="Times New Roman"/>
          <w:sz w:val="20"/>
          <w:szCs w:val="20"/>
        </w:rPr>
        <w:t>a</w:t>
      </w:r>
      <w:proofErr w:type="spellEnd"/>
      <w:r w:rsidRPr="00F91CF6">
        <w:rPr>
          <w:rFonts w:ascii="Times New Roman" w:hAnsi="Times New Roman" w:cs="Times New Roman"/>
          <w:sz w:val="20"/>
          <w:szCs w:val="20"/>
        </w:rPr>
        <w:t xml:space="preserve"> spp., administered intra-</w:t>
      </w:r>
      <w:proofErr w:type="spellStart"/>
      <w:r w:rsidRPr="00F91CF6">
        <w:rPr>
          <w:rFonts w:ascii="Times New Roman" w:hAnsi="Times New Roman" w:cs="Times New Roman"/>
          <w:sz w:val="20"/>
          <w:szCs w:val="20"/>
        </w:rPr>
        <w:t>esophageally</w:t>
      </w:r>
      <w:proofErr w:type="spellEnd"/>
      <w:r w:rsidRPr="00F91CF6">
        <w:rPr>
          <w:rFonts w:ascii="Times New Roman" w:hAnsi="Times New Roman" w:cs="Times New Roman"/>
          <w:sz w:val="20"/>
          <w:szCs w:val="20"/>
        </w:rPr>
        <w:t xml:space="preserve"> or through contaminated floors. Another two objectives studied the effect of different concentrations of EOBWE and WSD on </w:t>
      </w:r>
      <w:proofErr w:type="spellStart"/>
      <w:r w:rsidRPr="00F91CF6">
        <w:rPr>
          <w:rFonts w:ascii="Times New Roman" w:hAnsi="Times New Roman" w:cs="Times New Roman"/>
          <w:sz w:val="20"/>
          <w:szCs w:val="20"/>
        </w:rPr>
        <w:t>lysis</w:t>
      </w:r>
      <w:proofErr w:type="spellEnd"/>
      <w:r w:rsidRPr="00F91CF6">
        <w:rPr>
          <w:rFonts w:ascii="Times New Roman" w:hAnsi="Times New Roman" w:cs="Times New Roman"/>
          <w:sz w:val="20"/>
          <w:szCs w:val="20"/>
        </w:rPr>
        <w:t xml:space="preserve"> of </w:t>
      </w:r>
      <w:proofErr w:type="spellStart"/>
      <w:r w:rsidRPr="00F91CF6">
        <w:rPr>
          <w:rFonts w:ascii="Times New Roman" w:hAnsi="Times New Roman" w:cs="Times New Roman"/>
          <w:i/>
          <w:iCs/>
          <w:sz w:val="20"/>
          <w:szCs w:val="20"/>
        </w:rPr>
        <w:t>Eimeria</w:t>
      </w:r>
      <w:proofErr w:type="spellEnd"/>
      <w:r w:rsidRPr="00F91CF6">
        <w:rPr>
          <w:rFonts w:ascii="Times New Roman" w:hAnsi="Times New Roman" w:cs="Times New Roman"/>
          <w:sz w:val="20"/>
          <w:szCs w:val="20"/>
        </w:rPr>
        <w:t xml:space="preserve"> </w:t>
      </w:r>
      <w:proofErr w:type="spellStart"/>
      <w:r w:rsidRPr="00F91CF6">
        <w:rPr>
          <w:rFonts w:ascii="Times New Roman" w:hAnsi="Times New Roman" w:cs="Times New Roman"/>
          <w:sz w:val="20"/>
          <w:szCs w:val="20"/>
        </w:rPr>
        <w:t>oocyctes</w:t>
      </w:r>
      <w:proofErr w:type="spellEnd"/>
      <w:r w:rsidRPr="00F91CF6">
        <w:rPr>
          <w:rFonts w:ascii="Times New Roman" w:hAnsi="Times New Roman" w:cs="Times New Roman"/>
          <w:sz w:val="20"/>
          <w:szCs w:val="20"/>
        </w:rPr>
        <w:t>. A fourth objective compared the control of coccidiosis in broilers by the invented dual approach of applying WSD and EOBWE versus the application of classical disinfecta</w:t>
      </w:r>
      <w:r>
        <w:rPr>
          <w:rFonts w:ascii="Times New Roman" w:hAnsi="Times New Roman" w:cs="Times New Roman"/>
          <w:sz w:val="20"/>
          <w:szCs w:val="20"/>
        </w:rPr>
        <w:t>nts and commercial</w:t>
      </w:r>
      <w:r w:rsidRPr="00F91CF6">
        <w:rPr>
          <w:rFonts w:ascii="Times New Roman" w:hAnsi="Times New Roman" w:cs="Times New Roman"/>
          <w:sz w:val="20"/>
          <w:szCs w:val="20"/>
        </w:rPr>
        <w:t xml:space="preserve"> </w:t>
      </w:r>
      <w:proofErr w:type="spellStart"/>
      <w:r w:rsidRPr="00F91CF6">
        <w:rPr>
          <w:rFonts w:ascii="Times New Roman" w:hAnsi="Times New Roman" w:cs="Times New Roman"/>
          <w:sz w:val="20"/>
          <w:szCs w:val="20"/>
        </w:rPr>
        <w:t>coccidiostats</w:t>
      </w:r>
      <w:proofErr w:type="spellEnd"/>
      <w:r w:rsidRPr="00F91CF6">
        <w:rPr>
          <w:rFonts w:ascii="Times New Roman" w:hAnsi="Times New Roman" w:cs="Times New Roman"/>
          <w:sz w:val="20"/>
          <w:szCs w:val="20"/>
        </w:rPr>
        <w:t>. The four field trials compared the dual intervention by class</w:t>
      </w:r>
      <w:r>
        <w:rPr>
          <w:rFonts w:ascii="Times New Roman" w:hAnsi="Times New Roman" w:cs="Times New Roman"/>
          <w:sz w:val="20"/>
          <w:szCs w:val="20"/>
        </w:rPr>
        <w:t>ical disinfectants and commercial</w:t>
      </w:r>
      <w:r w:rsidRPr="00F91CF6">
        <w:rPr>
          <w:rFonts w:ascii="Times New Roman" w:hAnsi="Times New Roman" w:cs="Times New Roman"/>
          <w:sz w:val="20"/>
          <w:szCs w:val="20"/>
        </w:rPr>
        <w:t xml:space="preserve"> </w:t>
      </w:r>
      <w:proofErr w:type="spellStart"/>
      <w:r w:rsidRPr="00F91CF6">
        <w:rPr>
          <w:rFonts w:ascii="Times New Roman" w:hAnsi="Times New Roman" w:cs="Times New Roman"/>
          <w:sz w:val="20"/>
          <w:szCs w:val="20"/>
        </w:rPr>
        <w:t>coccidiostats</w:t>
      </w:r>
      <w:proofErr w:type="spellEnd"/>
      <w:r w:rsidRPr="00F91CF6">
        <w:rPr>
          <w:rFonts w:ascii="Times New Roman" w:hAnsi="Times New Roman" w:cs="Times New Roman"/>
          <w:sz w:val="20"/>
          <w:szCs w:val="20"/>
        </w:rPr>
        <w:t xml:space="preserve"> versus the invented intervention by WSD and EOBWE against controlled floor contaminated-challenge of broilers by equivalent number of </w:t>
      </w:r>
      <w:proofErr w:type="spellStart"/>
      <w:r w:rsidRPr="00F91CF6">
        <w:rPr>
          <w:rFonts w:ascii="Times New Roman" w:hAnsi="Times New Roman" w:cs="Times New Roman"/>
          <w:sz w:val="20"/>
          <w:szCs w:val="20"/>
        </w:rPr>
        <w:t>sporulated</w:t>
      </w:r>
      <w:proofErr w:type="spellEnd"/>
      <w:r w:rsidRPr="00F91CF6">
        <w:rPr>
          <w:rFonts w:ascii="Times New Roman" w:hAnsi="Times New Roman" w:cs="Times New Roman"/>
          <w:sz w:val="20"/>
          <w:szCs w:val="20"/>
        </w:rPr>
        <w:t xml:space="preserve"> </w:t>
      </w:r>
      <w:proofErr w:type="spellStart"/>
      <w:r w:rsidRPr="00F91CF6">
        <w:rPr>
          <w:rFonts w:ascii="Times New Roman" w:hAnsi="Times New Roman" w:cs="Times New Roman"/>
          <w:sz w:val="20"/>
          <w:szCs w:val="20"/>
        </w:rPr>
        <w:t>oocysts</w:t>
      </w:r>
      <w:proofErr w:type="spellEnd"/>
      <w:r w:rsidRPr="00F91CF6">
        <w:rPr>
          <w:rFonts w:ascii="Times New Roman" w:hAnsi="Times New Roman" w:cs="Times New Roman"/>
          <w:sz w:val="20"/>
          <w:szCs w:val="20"/>
        </w:rPr>
        <w:t xml:space="preserve"> of 8 </w:t>
      </w:r>
      <w:proofErr w:type="spellStart"/>
      <w:r w:rsidRPr="00F91CF6">
        <w:rPr>
          <w:rFonts w:ascii="Times New Roman" w:hAnsi="Times New Roman" w:cs="Times New Roman"/>
          <w:i/>
          <w:iCs/>
          <w:sz w:val="20"/>
          <w:szCs w:val="20"/>
        </w:rPr>
        <w:t>Eimeria</w:t>
      </w:r>
      <w:proofErr w:type="spellEnd"/>
      <w:r w:rsidRPr="00F91CF6">
        <w:rPr>
          <w:rFonts w:ascii="Times New Roman" w:hAnsi="Times New Roman" w:cs="Times New Roman"/>
          <w:i/>
          <w:iCs/>
          <w:sz w:val="20"/>
          <w:szCs w:val="20"/>
        </w:rPr>
        <w:t xml:space="preserve"> spp</w:t>
      </w:r>
      <w:r w:rsidRPr="00F91CF6">
        <w:rPr>
          <w:rFonts w:ascii="Times New Roman" w:hAnsi="Times New Roman" w:cs="Times New Roman"/>
          <w:sz w:val="20"/>
          <w:szCs w:val="20"/>
        </w:rPr>
        <w:t xml:space="preserve">. The second and third trials had the same comparison but against field challenge of broilers by </w:t>
      </w:r>
      <w:proofErr w:type="spellStart"/>
      <w:r w:rsidRPr="00F91CF6">
        <w:rPr>
          <w:rFonts w:ascii="Times New Roman" w:hAnsi="Times New Roman" w:cs="Times New Roman"/>
          <w:i/>
          <w:sz w:val="20"/>
          <w:szCs w:val="20"/>
        </w:rPr>
        <w:t>Eimeria</w:t>
      </w:r>
      <w:proofErr w:type="spellEnd"/>
      <w:r w:rsidRPr="00F91CF6">
        <w:rPr>
          <w:rFonts w:ascii="Times New Roman" w:hAnsi="Times New Roman" w:cs="Times New Roman"/>
          <w:sz w:val="20"/>
          <w:szCs w:val="20"/>
        </w:rPr>
        <w:t xml:space="preserve"> spp. The fourth trial </w:t>
      </w:r>
      <w:r>
        <w:rPr>
          <w:rFonts w:ascii="Times New Roman" w:hAnsi="Times New Roman" w:cs="Times New Roman"/>
          <w:sz w:val="20"/>
          <w:szCs w:val="20"/>
        </w:rPr>
        <w:t>compared the impact of commercial</w:t>
      </w:r>
      <w:r w:rsidRPr="00F91CF6">
        <w:rPr>
          <w:rFonts w:ascii="Times New Roman" w:hAnsi="Times New Roman" w:cs="Times New Roman"/>
          <w:sz w:val="20"/>
          <w:szCs w:val="20"/>
        </w:rPr>
        <w:t xml:space="preserve"> </w:t>
      </w:r>
      <w:proofErr w:type="spellStart"/>
      <w:r w:rsidRPr="00F91CF6">
        <w:rPr>
          <w:rFonts w:ascii="Times New Roman" w:hAnsi="Times New Roman" w:cs="Times New Roman"/>
          <w:sz w:val="20"/>
          <w:szCs w:val="20"/>
        </w:rPr>
        <w:t>coccidiostat</w:t>
      </w:r>
      <w:proofErr w:type="spellEnd"/>
      <w:r w:rsidRPr="00F91CF6">
        <w:rPr>
          <w:rFonts w:ascii="Times New Roman" w:hAnsi="Times New Roman" w:cs="Times New Roman"/>
          <w:sz w:val="20"/>
          <w:szCs w:val="20"/>
        </w:rPr>
        <w:t xml:space="preserve"> alone versus concurrent admi</w:t>
      </w:r>
      <w:r>
        <w:rPr>
          <w:rFonts w:ascii="Times New Roman" w:hAnsi="Times New Roman" w:cs="Times New Roman"/>
          <w:sz w:val="20"/>
          <w:szCs w:val="20"/>
        </w:rPr>
        <w:t>nistration of both the commercial</w:t>
      </w:r>
      <w:r w:rsidRPr="00F91CF6">
        <w:rPr>
          <w:rFonts w:ascii="Times New Roman" w:hAnsi="Times New Roman" w:cs="Times New Roman"/>
          <w:sz w:val="20"/>
          <w:szCs w:val="20"/>
        </w:rPr>
        <w:t xml:space="preserve"> </w:t>
      </w:r>
      <w:proofErr w:type="spellStart"/>
      <w:r w:rsidRPr="00F91CF6">
        <w:rPr>
          <w:rFonts w:ascii="Times New Roman" w:hAnsi="Times New Roman" w:cs="Times New Roman"/>
          <w:sz w:val="20"/>
          <w:szCs w:val="20"/>
        </w:rPr>
        <w:t>coccidiostat</w:t>
      </w:r>
      <w:proofErr w:type="spellEnd"/>
      <w:r w:rsidRPr="00F91CF6">
        <w:rPr>
          <w:rFonts w:ascii="Times New Roman" w:hAnsi="Times New Roman" w:cs="Times New Roman"/>
          <w:sz w:val="20"/>
          <w:szCs w:val="20"/>
        </w:rPr>
        <w:t xml:space="preserve"> and the EOBWE on protection of broilers against field challenge by </w:t>
      </w:r>
      <w:proofErr w:type="spellStart"/>
      <w:r w:rsidRPr="00F91CF6">
        <w:rPr>
          <w:rFonts w:ascii="Times New Roman" w:hAnsi="Times New Roman" w:cs="Times New Roman"/>
          <w:i/>
          <w:sz w:val="20"/>
          <w:szCs w:val="20"/>
        </w:rPr>
        <w:t>Eimeria</w:t>
      </w:r>
      <w:proofErr w:type="spellEnd"/>
      <w:r w:rsidRPr="00F91CF6">
        <w:rPr>
          <w:rFonts w:ascii="Times New Roman" w:hAnsi="Times New Roman" w:cs="Times New Roman"/>
          <w:sz w:val="20"/>
          <w:szCs w:val="20"/>
        </w:rPr>
        <w:t xml:space="preserve"> spp. The compiled data of this global research led to comprehensive</w:t>
      </w:r>
      <w:r>
        <w:rPr>
          <w:rFonts w:ascii="Times New Roman" w:hAnsi="Times New Roman" w:cs="Times New Roman"/>
          <w:sz w:val="20"/>
          <w:szCs w:val="20"/>
        </w:rPr>
        <w:t xml:space="preserve"> control of poultry coccidiosis </w:t>
      </w:r>
      <w:r w:rsidRPr="00F91CF6">
        <w:rPr>
          <w:rFonts w:ascii="Times New Roman" w:hAnsi="Times New Roman" w:cs="Times New Roman"/>
          <w:sz w:val="20"/>
          <w:szCs w:val="20"/>
        </w:rPr>
        <w:t xml:space="preserve">by </w:t>
      </w:r>
      <w:r>
        <w:rPr>
          <w:rFonts w:ascii="Times New Roman" w:hAnsi="Times New Roman" w:cs="Times New Roman"/>
          <w:sz w:val="20"/>
          <w:szCs w:val="20"/>
        </w:rPr>
        <w:t xml:space="preserve">the dual approach of the invented method, resulting in </w:t>
      </w:r>
      <w:r w:rsidRPr="00F91CF6">
        <w:rPr>
          <w:rFonts w:ascii="Times New Roman" w:hAnsi="Times New Roman" w:cs="Times New Roman"/>
          <w:sz w:val="20"/>
          <w:szCs w:val="20"/>
        </w:rPr>
        <w:t xml:space="preserve">significant reduction of </w:t>
      </w:r>
      <w:proofErr w:type="spellStart"/>
      <w:r w:rsidRPr="00F91CF6">
        <w:rPr>
          <w:rFonts w:ascii="Times New Roman" w:hAnsi="Times New Roman" w:cs="Times New Roman"/>
          <w:sz w:val="20"/>
          <w:szCs w:val="20"/>
        </w:rPr>
        <w:t>oocyctes</w:t>
      </w:r>
      <w:proofErr w:type="spellEnd"/>
      <w:r w:rsidRPr="00F91CF6">
        <w:rPr>
          <w:rFonts w:ascii="Times New Roman" w:hAnsi="Times New Roman" w:cs="Times New Roman"/>
          <w:sz w:val="20"/>
          <w:szCs w:val="20"/>
        </w:rPr>
        <w:t xml:space="preserve"> output and its associated lesions, and consistent improvement of the chicken performance. </w:t>
      </w:r>
    </w:p>
    <w:p w:rsidR="006441D6" w:rsidRDefault="006441D6"/>
    <w:sectPr w:rsidR="0064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1D6"/>
    <w:rsid w:val="00066B73"/>
    <w:rsid w:val="006441D6"/>
    <w:rsid w:val="00681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40A9D-6533-4DDD-ABF0-9BB8D55AA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1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Barbour</dc:creator>
  <cp:keywords/>
  <dc:description/>
  <cp:lastModifiedBy>USER</cp:lastModifiedBy>
  <cp:revision>2</cp:revision>
  <dcterms:created xsi:type="dcterms:W3CDTF">2017-12-22T07:09:00Z</dcterms:created>
  <dcterms:modified xsi:type="dcterms:W3CDTF">2017-12-22T07:09:00Z</dcterms:modified>
</cp:coreProperties>
</file>