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b/>
          <w:color w:val="2E74B5"/>
          <w:sz w:val="20"/>
        </w:rPr>
        <w:t>PAPER 2 RESEARCH PROTOCOL</w:t>
      </w:r>
    </w:p>
    <w:p>
      <w:pPr>
        <w:spacing w:after="120"/>
      </w:pPr>
      <w:r>
        <w:rPr>
          <w:rFonts w:ascii="Calibri" w:hAnsi="Calibri" w:cs="Calibri"/>
          <w:b/>
          <w:color w:val="0B2545"/>
          <w:sz w:val="50"/>
        </w:rPr>
        <w:t>Multi-Station, Multi-Horizon Water-Level Forecasting at Nong Khai</w:t>
      </w:r>
    </w:p>
    <w:p>
      <w:pPr>
        <w:spacing w:after="320"/>
      </w:pPr>
      <w:r>
        <w:rPr>
          <w:rFonts w:ascii="Calibri" w:hAnsi="Calibri" w:cs="Calibri"/>
          <w:i/>
          <w:color w:val="5A6573"/>
          <w:sz w:val="28"/>
        </w:rPr>
        <w:t>Quantifying Upstream Information and Lead-Time Skill in the Mekong River</w:t>
      </w:r>
    </w:p>
    <w:p>
      <w:pPr>
        <w:spacing w:after="40"/>
      </w:pPr>
      <w:r>
        <w:rPr>
          <w:rFonts w:ascii="Calibri" w:hAnsi="Calibri" w:cs="Calibri"/>
          <w:b/>
          <w:color w:val="0B2545"/>
          <w:sz w:val="22"/>
        </w:rPr>
        <w:t xml:space="preserve">Foundation: </w:t>
      </w:r>
      <w:r>
        <w:rPr>
          <w:rFonts w:ascii="Calibri" w:hAnsi="Calibri" w:cs="Calibri"/>
          <w:color w:val="000000"/>
          <w:sz w:val="22"/>
        </w:rPr>
        <w:t>Paper 1: one-day-ahead comparison of LSTM, GRU, Random Forest and SVR</w:t>
      </w:r>
    </w:p>
    <w:p>
      <w:pPr>
        <w:spacing w:after="40"/>
      </w:pPr>
      <w:r>
        <w:rPr>
          <w:rFonts w:ascii="Calibri" w:hAnsi="Calibri" w:cs="Calibri"/>
          <w:b/>
          <w:color w:val="0B2545"/>
          <w:sz w:val="22"/>
        </w:rPr>
        <w:t xml:space="preserve">Target: </w:t>
      </w:r>
      <w:r>
        <w:rPr>
          <w:rFonts w:ascii="Calibri" w:hAnsi="Calibri" w:cs="Calibri"/>
          <w:color w:val="000000"/>
          <w:sz w:val="22"/>
        </w:rPr>
        <w:t>Daily water level at Nong Khai station (NON)</w:t>
      </w:r>
    </w:p>
    <w:p>
      <w:pPr>
        <w:spacing w:after="40"/>
      </w:pPr>
      <w:r>
        <w:rPr>
          <w:rFonts w:ascii="Calibri" w:hAnsi="Calibri" w:cs="Calibri"/>
          <w:b/>
          <w:color w:val="0B2545"/>
          <w:sz w:val="22"/>
        </w:rPr>
        <w:t xml:space="preserve">Inputs: </w:t>
      </w:r>
      <w:r>
        <w:rPr>
          <w:rFonts w:ascii="Calibri" w:hAnsi="Calibri" w:cs="Calibri"/>
          <w:color w:val="000000"/>
          <w:sz w:val="22"/>
        </w:rPr>
        <w:t>Chiang Saen, Luang Prabang, Chiang Khan, Vientiane and Nong Khai</w:t>
      </w:r>
    </w:p>
    <w:p>
      <w:pPr>
        <w:spacing w:after="40"/>
      </w:pPr>
      <w:r>
        <w:rPr>
          <w:rFonts w:ascii="Calibri" w:hAnsi="Calibri" w:cs="Calibri"/>
          <w:b/>
          <w:color w:val="0B2545"/>
          <w:sz w:val="22"/>
        </w:rPr>
        <w:t xml:space="preserve">Lead times: </w:t>
      </w:r>
      <w:r>
        <w:rPr>
          <w:rFonts w:ascii="Calibri" w:hAnsi="Calibri" w:cs="Calibri"/>
          <w:color w:val="000000"/>
          <w:sz w:val="22"/>
        </w:rPr>
        <w:t>1, 3, 5, 7 and 14 days; model output covers t+1 through t+14</w:t>
      </w:r>
    </w:p>
    <w:p>
      <w:pPr>
        <w:spacing w:after="40"/>
      </w:pPr>
      <w:r>
        <w:rPr>
          <w:rFonts w:ascii="Calibri" w:hAnsi="Calibri" w:cs="Calibri"/>
          <w:b/>
          <w:color w:val="0B2545"/>
          <w:sz w:val="22"/>
        </w:rPr>
        <w:t xml:space="preserve">Protocol date: </w:t>
      </w:r>
      <w:r>
        <w:rPr>
          <w:rFonts w:ascii="Calibri" w:hAnsi="Calibri" w:cs="Calibri"/>
          <w:color w:val="000000"/>
          <w:sz w:val="22"/>
        </w:rPr>
        <w:t>14 August 2026  |  Version 1.0</w:t>
      </w:r>
    </w:p>
    <w:p>
      <w:pPr>
        <w:spacing w:after="60"/>
      </w:pP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FF8E8"/>
            <w:tcMar>
              <w:top w:w="80" w:type="dxa"/>
              <w:start w:w="120" w:type="dxa"/>
              <w:bottom w:w="80" w:type="dxa"/>
              <w:end w:w="120" w:type="dxa"/>
            </w:tcMar>
            <w:vAlign w:val="center"/>
          </w:tcPr>
          <w:p>
            <w:pPr>
              <w:spacing w:after="0"/>
            </w:pPr>
            <w:r>
              <w:rPr>
                <w:rFonts w:ascii="Calibri" w:hAnsi="Calibri" w:cs="Calibri"/>
                <w:b/>
                <w:color w:val="0B2545"/>
                <w:sz w:val="22"/>
              </w:rPr>
              <w:t xml:space="preserve">Recommended core design: </w:t>
            </w:r>
            <w:r>
              <w:rPr>
                <w:rFonts w:ascii="Calibri" w:hAnsi="Calibri" w:cs="Calibri"/>
                <w:color w:val="263238"/>
                <w:sz w:val="22"/>
              </w:rPr>
              <w:t>Predict the complete 14-day sequence with direct multi-output models, report days 1/3/5/7/14, use the Paper 1 LSTM as the principal baseline, and compare it with TCN-GRU and a compact Transformer. Quantify upstream value with controlled station ablation and evaluate high-water periods separately.</w:t>
            </w:r>
          </w:p>
        </w:tc>
      </w:tr>
    </w:tbl>
    <w:p>
      <w:pPr>
        <w:spacing w:after="20"/>
      </w:pPr>
    </w:p>
    <w:p>
      <w:pPr>
        <w:spacing w:after="240"/>
      </w:pPr>
      <w:r>
        <w:rPr>
          <w:rFonts w:ascii="Calibri" w:hAnsi="Calibri" w:cs="Calibri"/>
          <w:b/>
          <w:color w:val="000000"/>
          <w:sz w:val="22"/>
        </w:rPr>
        <w:t>Central research question:</w:t>
      </w:r>
      <w:r>
        <w:rPr>
          <w:rFonts w:ascii="Calibri" w:hAnsi="Calibri" w:cs="Calibri"/>
          <w:i w:val="0"/>
          <w:color w:val="000000"/>
          <w:sz w:val="22"/>
        </w:rPr>
        <w:t xml:space="preserve"> How far ahead can the water level at Nong Khai be forecast reliably, and which upstream gauges preserve useful forecast skill as lead time increases?</w:t>
      </w:r>
    </w:p>
    <w:p>
      <w:pPr>
        <w:pStyle w:val="Heading1"/>
        <w:keepNext/>
        <w:keepLines w:val="0"/>
      </w:pPr>
      <w:r>
        <w:t>Protocol at a Glance</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Decision</w:t>
            </w:r>
          </w:p>
        </w:tc>
        <w:tc>
          <w:tcPr>
            <w:tcW w:type="dxa" w:w="686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Recommended specification</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Forecast formulation</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Many-input, multi-output supervised forecasting: X(t) -&gt; [NON(t+1), ..., NON(t+14)]</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Primary horizons</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1, 3, 5, 7 and 14 days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Primary comparison</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All five stations versus NON-only, using identical architecture and tuning</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Core models</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Persistence, seasonal naive, climatology, Ridge, Paper 1 LSTM, TCN-GRU and compact Transformer</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Evaluation</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Rolling-origin evaluation plus a locked final period; five random seeds for neural models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Primary metrics</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MAE and RMSE in metres; NSE and KGE as hydrological skill metrics</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Operational analysis</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Wet season, high-water subset, threshold events and peak timing</w:t>
            </w:r>
          </w:p>
        </w:tc>
      </w:tr>
      <w:tr>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Main novelty</w:t>
            </w:r>
          </w:p>
        </w:tc>
        <w:tc>
          <w:tcPr>
            <w:tcW w:type="dxa" w:w="68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Horizon-dependent value of upstream information, not another four-model one-day comparison</w:t>
            </w:r>
          </w:p>
        </w:tc>
      </w:tr>
    </w:tbl>
    <w:p>
      <w:pPr>
        <w:spacing w:after="20"/>
      </w:pPr>
    </w:p>
    <w:p>
      <w:pPr>
        <w:pStyle w:val="Heading1"/>
        <w:keepNext/>
        <w:keepLines w:val="0"/>
      </w:pPr>
      <w:r>
        <w:t>1. Research Positioning</w:t>
      </w:r>
    </w:p>
    <w:p>
      <w:pPr>
        <w:pStyle w:val="Heading2"/>
        <w:keepNext/>
        <w:keepLines w:val="0"/>
      </w:pPr>
      <w:r>
        <w:t>1.1 Boundary Between Paper 1 and Paper 2</w:t>
      </w:r>
    </w:p>
    <w:p>
      <w:pPr>
        <w:spacing w:after="120"/>
      </w:pPr>
      <w:r>
        <w:rPr>
          <w:rFonts w:ascii="Calibri" w:hAnsi="Calibri" w:cs="Calibri"/>
          <w:i w:val="0"/>
          <w:color w:val="000000"/>
          <w:sz w:val="22"/>
        </w:rPr>
        <w:t>Paper 1 established that recurrent sequence models were promising for one-day-ahead forecasting from five daily gauges. Paper 2 should treat that result as a baseline and move the scientific question from model ranking to lead-time skill, upstream information value and operational reliability.</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500"/>
        <w:gridCol w:w="3650"/>
        <w:gridCol w:w="4210"/>
      </w:tblGrid>
      <w:tr>
        <w:trPr>
          <w:tblHeader w:val="true"/>
        </w:trPr>
        <w:tc>
          <w:tcPr>
            <w:tcW w:type="dxa" w:w="15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Aspect</w:t>
            </w:r>
          </w:p>
        </w:tc>
        <w:tc>
          <w:tcPr>
            <w:tcW w:type="dxa" w:w="365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Paper 1</w:t>
            </w:r>
          </w:p>
        </w:tc>
        <w:tc>
          <w:tcPr>
            <w:tcW w:type="dxa" w:w="421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Paper 2</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Question</w:t>
            </w:r>
          </w:p>
        </w:tc>
        <w:tc>
          <w:tcPr>
            <w:tcW w:type="dxa" w:w="36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Which of four models performs best at t+1?</w:t>
            </w:r>
          </w:p>
        </w:tc>
        <w:tc>
          <w:tcPr>
            <w:tcW w:type="dxa" w:w="42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How far ahead is forecasting useful, and which stations contribute at each horizon?</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Forecast target</w:t>
            </w:r>
          </w:p>
        </w:tc>
        <w:tc>
          <w:tcPr>
            <w:tcW w:type="dxa" w:w="36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NON at t+1</w:t>
            </w:r>
          </w:p>
        </w:tc>
        <w:tc>
          <w:tcPr>
            <w:tcW w:type="dxa" w:w="42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NON at t+1 through t+14; report 1/3/5/7/14</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Input design</w:t>
            </w:r>
          </w:p>
        </w:tc>
        <w:tc>
          <w:tcPr>
            <w:tcW w:type="dxa" w:w="36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All five stations, fixed 60-day look-back</w:t>
            </w:r>
          </w:p>
        </w:tc>
        <w:tc>
          <w:tcPr>
            <w:tcW w:type="dxa" w:w="42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Incremental and leave-one-out station configurations; 7/14/30/60-day look-backs</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Model role</w:t>
            </w:r>
          </w:p>
        </w:tc>
        <w:tc>
          <w:tcPr>
            <w:tcW w:type="dxa" w:w="36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LSTM, GRU, RF and SVR compared</w:t>
            </w:r>
          </w:p>
        </w:tc>
        <w:tc>
          <w:tcPr>
            <w:tcW w:type="dxa" w:w="42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LSTM becomes baseline; TCN-GRU and compact Transformer test multi-horizon learning</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Evaluation</w:t>
            </w:r>
          </w:p>
        </w:tc>
        <w:tc>
          <w:tcPr>
            <w:tcW w:type="dxa" w:w="36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One validation year and one test period; RMSE/MAE</w:t>
            </w:r>
          </w:p>
        </w:tc>
        <w:tc>
          <w:tcPr>
            <w:tcW w:type="dxa" w:w="42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Rolling-origin, multiple seeds, hydrological skill, high-water and significance analysis</w:t>
            </w:r>
          </w:p>
        </w:tc>
      </w:tr>
      <w:tr>
        <w:tc>
          <w:tcPr>
            <w:tcW w:type="dxa" w:w="1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Contribution</w:t>
            </w:r>
          </w:p>
        </w:tc>
        <w:tc>
          <w:tcPr>
            <w:tcW w:type="dxa" w:w="36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Consistent one-day model comparison</w:t>
            </w:r>
          </w:p>
        </w:tc>
        <w:tc>
          <w:tcPr>
            <w:tcW w:type="dxa" w:w="42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Lead-time degradation and marginal upstream-gauge contribution</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Scope control: </w:t>
            </w:r>
            <w:r>
              <w:rPr>
                <w:rFonts w:ascii="Calibri" w:hAnsi="Calibri" w:cs="Calibri"/>
                <w:color w:val="263238"/>
                <w:sz w:val="22"/>
              </w:rPr>
              <w:t>Do not position Digital Twin integration as the main contribution unless the study implements continuous data ingestion, model updating or operational deployment. It may remain an application implication in the Discussion.</w:t>
            </w:r>
          </w:p>
        </w:tc>
      </w:tr>
    </w:tbl>
    <w:p>
      <w:pPr>
        <w:spacing w:after="20"/>
      </w:pPr>
    </w:p>
    <w:p>
      <w:pPr>
        <w:pStyle w:val="Heading2"/>
        <w:keepNext/>
        <w:keepLines w:val="0"/>
      </w:pPr>
      <w:r>
        <w:t>1.2 Recommended and Alternative Titles</w:t>
      </w:r>
    </w:p>
    <w:p>
      <w:pPr>
        <w:numPr>
          <w:ilvl w:val="0"/>
          <w:numId w:val="10"/>
        </w:numPr>
        <w:spacing w:after="80" w:line="300" w:lineRule="auto"/>
      </w:pPr>
      <w:r>
        <w:rPr>
          <w:rFonts w:ascii="Calibri" w:hAnsi="Calibri" w:cs="Calibri"/>
          <w:color w:val="000000"/>
          <w:sz w:val="22"/>
        </w:rPr>
        <w:t>Multi-Station, Multi-Horizon Water-Level Forecasting at Nong Khai: Quantifying Upstream Information and Lead-Time Skill in the Mekong River</w:t>
      </w:r>
    </w:p>
    <w:p>
      <w:pPr>
        <w:numPr>
          <w:ilvl w:val="0"/>
          <w:numId w:val="10"/>
        </w:numPr>
        <w:spacing w:after="80" w:line="300" w:lineRule="auto"/>
      </w:pPr>
      <w:r>
        <w:rPr>
          <w:rFonts w:ascii="Calibri" w:hAnsi="Calibri" w:cs="Calibri"/>
          <w:color w:val="000000"/>
          <w:sz w:val="22"/>
        </w:rPr>
        <w:t>Evaluating Upstream Gauge Contributions to Multi-Horizon Water-Level Forecasting in the Mekong River</w:t>
      </w:r>
    </w:p>
    <w:p>
      <w:pPr>
        <w:numPr>
          <w:ilvl w:val="0"/>
          <w:numId w:val="10"/>
        </w:numPr>
        <w:spacing w:after="80" w:line="300" w:lineRule="auto"/>
      </w:pPr>
      <w:r>
        <w:rPr>
          <w:rFonts w:ascii="Calibri" w:hAnsi="Calibri" w:cs="Calibri"/>
          <w:color w:val="000000"/>
          <w:sz w:val="22"/>
        </w:rPr>
        <w:t>Direct Multi-Output Deep Learning for 1- to 14-Day Water-Level Forecasting at Nong Khai</w:t>
      </w:r>
    </w:p>
    <w:p>
      <w:pPr>
        <w:numPr>
          <w:ilvl w:val="0"/>
          <w:numId w:val="10"/>
        </w:numPr>
        <w:spacing w:after="80" w:line="300" w:lineRule="auto"/>
      </w:pPr>
      <w:r>
        <w:rPr>
          <w:rFonts w:ascii="Calibri" w:hAnsi="Calibri" w:cs="Calibri"/>
          <w:color w:val="000000"/>
          <w:sz w:val="22"/>
        </w:rPr>
        <w:t>How Far Ahead Can Nong Khai Water Levels Be Forecast? A Multi-Station Study of the Mekong River</w:t>
      </w:r>
    </w:p>
    <w:p>
      <w:pPr>
        <w:pStyle w:val="Heading2"/>
        <w:keepNext/>
        <w:keepLines w:val="0"/>
      </w:pPr>
      <w:r>
        <w:t>1.3 Research Gap Draft</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Draft paragraph: </w:t>
            </w:r>
            <w:r>
              <w:rPr>
                <w:rFonts w:ascii="Calibri" w:hAnsi="Calibri" w:cs="Calibri"/>
                <w:color w:val="263238"/>
                <w:sz w:val="22"/>
              </w:rPr>
              <w:t>Recent studies have demonstrated the effectiveness of deep-learning models for river-stage and streamflow forecasting. However, many studies focus on a single forecast horizon or report aggregated performance that obscures how predictive skill deteriorates with increasing lead time. Moreover, although upstream observations are frequently included as model inputs, their marginal contribution at different forecast horizons is rarely quantified through controlled station-ablation experiments. This limitation is particularly relevant to the Mekong River, where downstream water levels are influenced by spatially distributed upstream conditions and regulated flow. A leakage-safe, multi-station and multi-horizon evaluation is therefore needed to determine how far ahead the water level at Nong Khai can be forecast reliably, which upstream stations contribute useful information, and whether direct multi-output forecasting can reduce long-horizon error accumulation.</w:t>
            </w:r>
          </w:p>
        </w:tc>
      </w:tr>
    </w:tbl>
    <w:p>
      <w:pPr>
        <w:spacing w:after="20"/>
      </w:pPr>
    </w:p>
    <w:p>
      <w:pPr>
        <w:pStyle w:val="Heading1"/>
        <w:keepNext/>
        <w:keepLines w:val="0"/>
      </w:pPr>
      <w:r>
        <w:t>2. Objectives, Questions, Hypotheses and Contributions</w:t>
      </w:r>
    </w:p>
    <w:p>
      <w:pPr>
        <w:pStyle w:val="Heading2"/>
        <w:keepNext/>
        <w:keepLines w:val="0"/>
      </w:pPr>
      <w:r>
        <w:t>2.1 Research Objectives</w:t>
      </w:r>
    </w:p>
    <w:p>
      <w:pPr>
        <w:numPr>
          <w:ilvl w:val="0"/>
          <w:numId w:val="11"/>
        </w:numPr>
        <w:spacing w:after="80" w:line="300" w:lineRule="auto"/>
      </w:pPr>
      <w:r>
        <w:rPr>
          <w:rFonts w:ascii="Calibri" w:hAnsi="Calibri" w:cs="Calibri"/>
          <w:color w:val="000000"/>
          <w:sz w:val="22"/>
        </w:rPr>
        <w:t>Develop a multi-station framework for forecasting daily Nong Khai water levels over 1-, 3-, 5-, 7- and 14-day lead times.</w:t>
      </w:r>
    </w:p>
    <w:p>
      <w:pPr>
        <w:numPr>
          <w:ilvl w:val="0"/>
          <w:numId w:val="11"/>
        </w:numPr>
        <w:spacing w:after="80" w:line="300" w:lineRule="auto"/>
      </w:pPr>
      <w:r>
        <w:rPr>
          <w:rFonts w:ascii="Calibri" w:hAnsi="Calibri" w:cs="Calibri"/>
          <w:color w:val="000000"/>
          <w:sz w:val="22"/>
        </w:rPr>
        <w:t>Measure forecast-skill degradation as lead time increases.</w:t>
      </w:r>
    </w:p>
    <w:p>
      <w:pPr>
        <w:numPr>
          <w:ilvl w:val="0"/>
          <w:numId w:val="11"/>
        </w:numPr>
        <w:spacing w:after="80" w:line="300" w:lineRule="auto"/>
      </w:pPr>
      <w:r>
        <w:rPr>
          <w:rFonts w:ascii="Calibri" w:hAnsi="Calibri" w:cs="Calibri"/>
          <w:color w:val="000000"/>
          <w:sz w:val="22"/>
        </w:rPr>
        <w:t>Quantify the marginal value of each upstream station through incremental and leave-one-station-out ablation.</w:t>
      </w:r>
    </w:p>
    <w:p>
      <w:pPr>
        <w:numPr>
          <w:ilvl w:val="0"/>
          <w:numId w:val="11"/>
        </w:numPr>
        <w:spacing w:after="80" w:line="300" w:lineRule="auto"/>
      </w:pPr>
      <w:r>
        <w:rPr>
          <w:rFonts w:ascii="Calibri" w:hAnsi="Calibri" w:cs="Calibri"/>
          <w:color w:val="000000"/>
          <w:sz w:val="22"/>
        </w:rPr>
        <w:t>Compare recursive and direct multi-output forecasting under the same leakage-safe evaluation protocol.</w:t>
      </w:r>
    </w:p>
    <w:p>
      <w:pPr>
        <w:numPr>
          <w:ilvl w:val="0"/>
          <w:numId w:val="11"/>
        </w:numPr>
        <w:spacing w:after="80" w:line="300" w:lineRule="auto"/>
      </w:pPr>
      <w:r>
        <w:rPr>
          <w:rFonts w:ascii="Calibri" w:hAnsi="Calibri" w:cs="Calibri"/>
          <w:color w:val="000000"/>
          <w:sz w:val="22"/>
        </w:rPr>
        <w:t>Determine how look-back length interacts with forecast horizon.</w:t>
      </w:r>
    </w:p>
    <w:p>
      <w:pPr>
        <w:numPr>
          <w:ilvl w:val="0"/>
          <w:numId w:val="11"/>
        </w:numPr>
        <w:spacing w:after="80" w:line="300" w:lineRule="auto"/>
      </w:pPr>
      <w:r>
        <w:rPr>
          <w:rFonts w:ascii="Calibri" w:hAnsi="Calibri" w:cs="Calibri"/>
          <w:color w:val="000000"/>
          <w:sz w:val="22"/>
        </w:rPr>
        <w:t>Evaluate wet-season, high-water, threshold-exceedance and peak-timing performance relevant to early warning.</w:t>
      </w:r>
    </w:p>
    <w:p>
      <w:pPr>
        <w:pStyle w:val="Heading2"/>
        <w:keepNext/>
        <w:keepLines w:val="0"/>
      </w:pPr>
      <w:r>
        <w:t>2.2 Research Questions and Testable Hypotheses</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700"/>
        <w:gridCol w:w="3330"/>
        <w:gridCol w:w="5330"/>
      </w:tblGrid>
      <w:tr>
        <w:trPr>
          <w:tblHeader w:val="true"/>
        </w:trPr>
        <w:tc>
          <w:tcPr>
            <w:tcW w:type="dxa" w:w="70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RQ</w:t>
            </w:r>
          </w:p>
        </w:tc>
        <w:tc>
          <w:tcPr>
            <w:tcW w:type="dxa" w:w="333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Question</w:t>
            </w:r>
          </w:p>
        </w:tc>
        <w:tc>
          <w:tcPr>
            <w:tcW w:type="dxa" w:w="533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Pre-registered hypothesis / expected evidence</w:t>
            </w:r>
          </w:p>
        </w:tc>
      </w:tr>
      <w:tr>
        <w:tc>
          <w:tcPr>
            <w:tcW w:type="dxa" w:w="7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RQ1</w:t>
            </w:r>
          </w:p>
        </w:tc>
        <w:tc>
          <w:tcPr>
            <w:tcW w:type="dxa" w:w="3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How does accuracy change from day 1 to day 14?</w:t>
            </w:r>
          </w:p>
        </w:tc>
        <w:tc>
          <w:tcPr>
            <w:tcW w:type="dxa" w:w="5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H1: MAE/RMSE increase and NSE/KGE decrease with lead time; report the complete skill-decay curve.</w:t>
            </w:r>
          </w:p>
        </w:tc>
      </w:tr>
      <w:tr>
        <w:tc>
          <w:tcPr>
            <w:tcW w:type="dxa" w:w="7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RQ2</w:t>
            </w:r>
          </w:p>
        </w:tc>
        <w:tc>
          <w:tcPr>
            <w:tcW w:type="dxa" w:w="3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Do upstream gauges improve over NON-only?</w:t>
            </w:r>
          </w:p>
        </w:tc>
        <w:tc>
          <w:tcPr>
            <w:tcW w:type="dxa" w:w="5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H2: The five-station input lowers MAE relative to NON-only, especially at 3-14 days.</w:t>
            </w:r>
          </w:p>
        </w:tc>
      </w:tr>
      <w:tr>
        <w:tc>
          <w:tcPr>
            <w:tcW w:type="dxa" w:w="7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RQ3</w:t>
            </w:r>
          </w:p>
        </w:tc>
        <w:tc>
          <w:tcPr>
            <w:tcW w:type="dxa" w:w="3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Which stations contribute at each horizon?</w:t>
            </w:r>
          </w:p>
        </w:tc>
        <w:tc>
          <w:tcPr>
            <w:tcW w:type="dxa" w:w="5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H3 (exploratory): station value is horizon dependent; test with fixed-model incremental and leave-one-out ablation.</w:t>
            </w:r>
          </w:p>
        </w:tc>
      </w:tr>
      <w:tr>
        <w:tc>
          <w:tcPr>
            <w:tcW w:type="dxa" w:w="7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RQ4</w:t>
            </w:r>
          </w:p>
        </w:tc>
        <w:tc>
          <w:tcPr>
            <w:tcW w:type="dxa" w:w="3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Does direct multi-output outperform recursive forecasting?</w:t>
            </w:r>
          </w:p>
        </w:tc>
        <w:tc>
          <w:tcPr>
            <w:tcW w:type="dxa" w:w="5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H4: Direct multi-output reduces accumulated error at 7 and 14 days.</w:t>
            </w:r>
          </w:p>
        </w:tc>
      </w:tr>
      <w:tr>
        <w:tc>
          <w:tcPr>
            <w:tcW w:type="dxa" w:w="7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RQ5</w:t>
            </w:r>
          </w:p>
        </w:tc>
        <w:tc>
          <w:tcPr>
            <w:tcW w:type="dxa" w:w="3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How do look-back and horizon interact?</w:t>
            </w:r>
          </w:p>
        </w:tc>
        <w:tc>
          <w:tcPr>
            <w:tcW w:type="dxa" w:w="5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H5 (exploratory): longer windows help 7-14 days until diminishing returns appear.</w:t>
            </w:r>
          </w:p>
        </w:tc>
      </w:tr>
      <w:tr>
        <w:tc>
          <w:tcPr>
            <w:tcW w:type="dxa" w:w="7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RQ6</w:t>
            </w:r>
          </w:p>
        </w:tc>
        <w:tc>
          <w:tcPr>
            <w:tcW w:type="dxa" w:w="3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Are forecasts reliable during high water?</w:t>
            </w:r>
          </w:p>
        </w:tc>
        <w:tc>
          <w:tcPr>
            <w:tcW w:type="dxa" w:w="533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H6: Multi-station models improve high-water MAE and peak timing over NON-only.</w:t>
            </w:r>
          </w:p>
        </w:tc>
      </w:tr>
    </w:tbl>
    <w:p>
      <w:pPr>
        <w:spacing w:after="20"/>
      </w:pPr>
    </w:p>
    <w:p>
      <w:pPr>
        <w:spacing w:after="120"/>
      </w:pPr>
      <w:r>
        <w:rPr>
          <w:rFonts w:ascii="Calibri" w:hAnsi="Calibri" w:cs="Calibri"/>
          <w:i/>
          <w:color w:val="000000"/>
          <w:sz w:val="22"/>
        </w:rPr>
        <w:t>H3 and H5 should remain secondary hypotheses because travel time, dam regulation and seasonality may reverse the expected direction. The primary comparison should be declared before training: all-station versus NON-only MAE at days 7 and 14.</w:t>
      </w:r>
    </w:p>
    <w:p>
      <w:pPr>
        <w:pStyle w:val="Heading2"/>
        <w:keepNext/>
        <w:keepLines w:val="0"/>
      </w:pPr>
      <w:r>
        <w:t>2.3 Contribution Statement Ready for the Manuscript</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FF8E8"/>
            <w:tcMar>
              <w:top w:w="80" w:type="dxa"/>
              <w:start w:w="120" w:type="dxa"/>
              <w:bottom w:w="80" w:type="dxa"/>
              <w:end w:w="120" w:type="dxa"/>
            </w:tcMar>
            <w:vAlign w:val="center"/>
          </w:tcPr>
          <w:p>
            <w:pPr>
              <w:spacing w:after="0"/>
            </w:pPr>
            <w:r>
              <w:rPr>
                <w:rFonts w:ascii="Calibri" w:hAnsi="Calibri" w:cs="Calibri"/>
                <w:b/>
                <w:color w:val="0B2545"/>
                <w:sz w:val="22"/>
              </w:rPr>
              <w:t xml:space="preserve">Draft contribution: </w:t>
            </w:r>
            <w:r>
              <w:rPr>
                <w:rFonts w:ascii="Calibri" w:hAnsi="Calibri" w:cs="Calibri"/>
                <w:color w:val="263238"/>
                <w:sz w:val="22"/>
              </w:rPr>
              <w:t>This study makes four contributions. First, it establishes a leakage-safe benchmark for forecasting Nong Khai water levels over lead times ranging from one day to two weeks. Second, it quantifies the horizon-dependent contribution of upstream monitoring stations through incremental and leave-one-station-out experiments. Third, it compares direct multi-output and recursive forecasting strategies under a consistent evaluation protocol. Fourth, it extends conventional error-based evaluation by examining wet-season, high-water, threshold-exceedance and peak-timing performance relevant to operational early warning.</w:t>
            </w:r>
          </w:p>
        </w:tc>
      </w:tr>
    </w:tbl>
    <w:p>
      <w:pPr>
        <w:spacing w:after="20"/>
      </w:pPr>
    </w:p>
    <w:p>
      <w:pPr>
        <w:pStyle w:val="Heading1"/>
        <w:keepNext/>
        <w:keepLines w:val="0"/>
      </w:pPr>
      <w:r>
        <w:t>3. Proposed Manuscript Structure</w:t>
      </w:r>
    </w:p>
    <w:p>
      <w:pPr>
        <w:spacing w:after="120"/>
      </w:pPr>
      <w:r>
        <w:rPr>
          <w:rFonts w:ascii="Calibri" w:hAnsi="Calibri" w:cs="Calibri"/>
          <w:i w:val="0"/>
          <w:color w:val="000000"/>
          <w:sz w:val="22"/>
        </w:rPr>
        <w:t>The paper should be organised around the research questions rather than around individual model names.</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300"/>
        <w:gridCol w:w="4870"/>
        <w:gridCol w:w="3190"/>
      </w:tblGrid>
      <w:tr>
        <w:trPr>
          <w:tblHeader w:val="true"/>
        </w:trPr>
        <w:tc>
          <w:tcPr>
            <w:tcW w:type="dxa" w:w="130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Section</w:t>
            </w:r>
          </w:p>
        </w:tc>
        <w:tc>
          <w:tcPr>
            <w:tcW w:type="dxa" w:w="487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Subsections and required content</w:t>
            </w:r>
          </w:p>
        </w:tc>
        <w:tc>
          <w:tcPr>
            <w:tcW w:type="dxa" w:w="319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Planned evidence</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1. Introduction</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Need for warning beyond one day; limits of Paper 1; multi-horizon/station-value gap; objectives, RQs and contributions.</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One concise problem-to-gap narrative; contribution paragraph.</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2. Related Work</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Single vs multi-step forecasting; recursive/direct/MIMO strategies; multi-station learning; TCN/recurrent/Transformer; high-water evaluation.</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Literature synthesis table; explicit unresolved gap.</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3. Study Area and Data</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Mekong context; five stations; daily coverage; missingness; QC; seasonal and lag analysis; input-output construction.</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Station map; data summary; lag/correlation figure.</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4. Forecasting Framework</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Problem formulation; baselines; LSTM; TCN-GRU; compact Transformer; recursive implementation; station configurations; tuning.</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Pipeline figure; model/search-space table.</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5. Experimental Design</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Rolling-origin split; leakage controls; staged experiment matrix; metrics; high-water rules; significance tests; reproducibility.</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Split diagram; experiment registry.</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6. Results</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Overall horizon skill; strategy comparison; architecture; look-back; station ablation; high-water/peaks; cost/stability.</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Main metrics table; skill curves; ablation heatmap; hydrographs.</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7. Discussion</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Hydrological interpretation; useful lead time; comparison with literature; statistical vs operational value; limits and transferability.</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Decision-oriented interpretation tied to every RQ.</w:t>
            </w:r>
          </w:p>
        </w:tc>
      </w:tr>
      <w:tr>
        <w:tc>
          <w:tcPr>
            <w:tcW w:type="dxa" w:w="13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8. Conclusion</w:t>
            </w:r>
          </w:p>
        </w:tc>
        <w:tc>
          <w:tcPr>
            <w:tcW w:type="dxa" w:w="48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Direct answers to RQs; practical meaning; limits; next data/model step.</w:t>
            </w:r>
          </w:p>
        </w:tc>
        <w:tc>
          <w:tcPr>
            <w:tcW w:type="dxa" w:w="319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No new evidence; concise findings and boundaries.</w:t>
            </w:r>
          </w:p>
        </w:tc>
      </w:tr>
    </w:tbl>
    <w:p>
      <w:pPr>
        <w:spacing w:after="20"/>
      </w:pPr>
    </w:p>
    <w:p>
      <w:pPr>
        <w:pStyle w:val="Heading2"/>
        <w:keepNext/>
        <w:keepLines w:val="0"/>
      </w:pPr>
      <w:r>
        <w:t>3.1 Abstract Template</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Fill after experiments: </w:t>
            </w:r>
            <w:r>
              <w:rPr>
                <w:rFonts w:ascii="Calibri" w:hAnsi="Calibri" w:cs="Calibri"/>
                <w:color w:val="263238"/>
                <w:sz w:val="22"/>
              </w:rPr>
              <w:t>Accurate multi-day water-level forecasts are needed to extend preparation time for flood-prone communities along the Mekong River. This study develops a multi-station, multi-horizon framework to forecast daily water levels at Nong Khai from one to fourteen days ahead using observations from five mainstream gauges. We compare recursive and direct multi-output strategies and evaluate an LSTM baseline, a TCN-GRU model and a compact Transformer under rolling-origin validation. Controlled incremental and leave-one-station-out experiments quantify the contribution of upstream gauges, while performance is assessed using MAE, RMSE, NSE and KGE, with separate analyses for wet-season and high-water conditions. [Insert main numerical results by horizon, strategy and station configuration.] The results show [insert defensible finding] and identify [insert operationally useful horizon]. The study provides a reproducible framework for determining how upstream information supports longer-lead water-level forecasting at Nong Khai.</w:t>
            </w:r>
          </w:p>
        </w:tc>
      </w:tr>
    </w:tbl>
    <w:p>
      <w:pPr>
        <w:spacing w:after="20"/>
      </w:pPr>
    </w:p>
    <w:p>
      <w:pPr>
        <w:pStyle w:val="Heading1"/>
        <w:keepNext/>
        <w:keepLines w:val="0"/>
      </w:pPr>
      <w:r>
        <w:t>4. Data and Forecast Formulation</w:t>
      </w:r>
    </w:p>
    <w:p>
      <w:pPr>
        <w:pStyle w:val="Heading2"/>
        <w:keepNext/>
        <w:keepLines w:val="0"/>
      </w:pPr>
      <w:r>
        <w:t>4.1 Monitoring Network and Target</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800"/>
        <w:gridCol w:w="900"/>
        <w:gridCol w:w="3200"/>
        <w:gridCol w:w="4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Order</w:t>
            </w:r>
          </w:p>
        </w:tc>
        <w:tc>
          <w:tcPr>
            <w:tcW w:type="dxa" w:w="90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Code</w:t>
            </w:r>
          </w:p>
        </w:tc>
        <w:tc>
          <w:tcPr>
            <w:tcW w:type="dxa" w:w="320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Station</w:t>
            </w:r>
          </w:p>
        </w:tc>
        <w:tc>
          <w:tcPr>
            <w:tcW w:type="dxa" w:w="446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Role in Paper 2</w:t>
            </w:r>
          </w:p>
        </w:tc>
      </w:tr>
      <w:tr>
        <w:tc>
          <w:tcPr>
            <w:tcW w:type="dxa" w:w="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1</w:t>
            </w:r>
          </w:p>
        </w:tc>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CSA</w:t>
            </w:r>
          </w:p>
        </w:tc>
        <w:tc>
          <w:tcPr>
            <w:tcW w:type="dxa" w:w="32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Chiang Saen</w:t>
            </w:r>
          </w:p>
        </w:tc>
        <w:tc>
          <w:tcPr>
            <w:tcW w:type="dxa" w:w="44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Farthest upstream information</w:t>
            </w:r>
          </w:p>
        </w:tc>
      </w:tr>
      <w:tr>
        <w:tc>
          <w:tcPr>
            <w:tcW w:type="dxa" w:w="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2</w:t>
            </w:r>
          </w:p>
        </w:tc>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LUA</w:t>
            </w:r>
          </w:p>
        </w:tc>
        <w:tc>
          <w:tcPr>
            <w:tcW w:type="dxa" w:w="32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Luang Prabang</w:t>
            </w:r>
          </w:p>
        </w:tc>
        <w:tc>
          <w:tcPr>
            <w:tcW w:type="dxa" w:w="44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Intermediate upstream information</w:t>
            </w:r>
          </w:p>
        </w:tc>
      </w:tr>
      <w:tr>
        <w:tc>
          <w:tcPr>
            <w:tcW w:type="dxa" w:w="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3</w:t>
            </w:r>
          </w:p>
        </w:tc>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CKH</w:t>
            </w:r>
          </w:p>
        </w:tc>
        <w:tc>
          <w:tcPr>
            <w:tcW w:type="dxa" w:w="32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Chiang Khan</w:t>
            </w:r>
          </w:p>
        </w:tc>
        <w:tc>
          <w:tcPr>
            <w:tcW w:type="dxa" w:w="44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Near-upstream information</w:t>
            </w:r>
          </w:p>
        </w:tc>
      </w:tr>
      <w:tr>
        <w:tc>
          <w:tcPr>
            <w:tcW w:type="dxa" w:w="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4</w:t>
            </w:r>
          </w:p>
        </w:tc>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VIE</w:t>
            </w:r>
          </w:p>
        </w:tc>
        <w:tc>
          <w:tcPr>
            <w:tcW w:type="dxa" w:w="32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Vientiane</w:t>
            </w:r>
          </w:p>
        </w:tc>
        <w:tc>
          <w:tcPr>
            <w:tcW w:type="dxa" w:w="44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Closest upstream gauge</w:t>
            </w:r>
          </w:p>
        </w:tc>
      </w:tr>
      <w:tr>
        <w:tc>
          <w:tcPr>
            <w:tcW w:type="dxa" w:w="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5</w:t>
            </w:r>
          </w:p>
        </w:tc>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NON</w:t>
            </w:r>
          </w:p>
        </w:tc>
        <w:tc>
          <w:tcPr>
            <w:tcW w:type="dxa" w:w="32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Nong Khai</w:t>
            </w:r>
          </w:p>
        </w:tc>
        <w:tc>
          <w:tcPr>
            <w:tcW w:type="dxa" w:w="44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Forecast target and local persistence</w:t>
            </w:r>
          </w:p>
        </w:tc>
      </w:tr>
    </w:tbl>
    <w:p>
      <w:pPr>
        <w:spacing w:after="20"/>
      </w:pPr>
    </w:p>
    <w:p>
      <w:pPr>
        <w:spacing w:after="120"/>
      </w:pPr>
      <w:r>
        <w:rPr>
          <w:rFonts w:ascii="Calibri" w:hAnsi="Calibri" w:cs="Calibri"/>
          <w:b/>
          <w:color w:val="000000"/>
          <w:sz w:val="22"/>
        </w:rPr>
        <w:t>For each issue date t,</w:t>
      </w:r>
      <w:r>
        <w:rPr>
          <w:rFonts w:ascii="Calibri" w:hAnsi="Calibri" w:cs="Calibri"/>
          <w:i w:val="0"/>
          <w:color w:val="000000"/>
          <w:sz w:val="22"/>
        </w:rPr>
        <w:t xml:space="preserve"> the model may use only observations that would have been available by the operational cutoff at t. No water-level value after t may enter the feature window, missing-data reconstruction, lag selection, scaling or tuning process.</w:t>
      </w:r>
    </w:p>
    <w:p>
      <w:pPr>
        <w:pStyle w:val="Heading2"/>
        <w:keepNext/>
        <w:keepLines w:val="0"/>
      </w:pPr>
      <w:r>
        <w:t>4.2 Input-Output Definition</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2F4F7"/>
            <w:tcMar>
              <w:top w:w="80" w:type="dxa"/>
              <w:start w:w="120" w:type="dxa"/>
              <w:bottom w:w="80" w:type="dxa"/>
              <w:end w:w="120" w:type="dxa"/>
            </w:tcMar>
            <w:vAlign w:val="center"/>
          </w:tcPr>
          <w:p>
            <w:pPr>
              <w:spacing w:after="0" w:line="240" w:lineRule="auto"/>
            </w:pPr>
            <w:r>
              <w:rPr>
                <w:rFonts w:ascii="Liberation Mono" w:hAnsi="Liberation Mono" w:cs="Liberation Mono"/>
                <w:color w:val="1F2933"/>
                <w:sz w:val="17"/>
              </w:rPr>
              <w:t>x_t = [CSA_t, LUA_t, CKH_t, VIE_t, NON_t]</w:t>
            </w:r>
            <w:r>
              <w:br/>
            </w:r>
            <w:r>
              <w:rPr>
                <w:rFonts w:ascii="Liberation Mono" w:hAnsi="Liberation Mono" w:cs="Liberation Mono"/>
                <w:color w:val="1F2933"/>
                <w:sz w:val="17"/>
              </w:rPr>
              <w:t>X_t = [x_(t-L+1), ..., x_t]                 shape: L x S</w:t>
            </w:r>
            <w:r>
              <w:br/>
            </w:r>
            <w:r>
              <w:rPr>
                <w:rFonts w:ascii="Liberation Mono" w:hAnsi="Liberation Mono" w:cs="Liberation Mono"/>
                <w:color w:val="1F2933"/>
                <w:sz w:val="17"/>
              </w:rPr>
              <w:t>Y_t = [NON_(t+1), ..., NON_(t+14)]          shape: 14</w:t>
            </w:r>
            <w:r>
              <w:br/>
            </w:r>
            <w:r>
              <w:rPr>
                <w:rFonts w:ascii="Liberation Mono" w:hAnsi="Liberation Mono" w:cs="Liberation Mono"/>
                <w:color w:val="1F2933"/>
                <w:sz w:val="17"/>
              </w:rPr>
              <w:t>Primary reported horizons H = {1, 3, 5, 7, 14}</w:t>
            </w:r>
          </w:p>
        </w:tc>
      </w:tr>
    </w:tbl>
    <w:p>
      <w:pPr>
        <w:spacing w:after="20"/>
      </w:pPr>
    </w:p>
    <w:p>
      <w:pPr>
        <w:spacing w:after="120"/>
      </w:pPr>
      <w:r>
        <w:rPr>
          <w:rFonts w:ascii="Calibri" w:hAnsi="Calibri" w:cs="Calibri"/>
          <w:i w:val="0"/>
          <w:color w:val="000000"/>
          <w:sz w:val="22"/>
        </w:rPr>
        <w:t>Train the direct multi-output models on all fourteen future days rather than on five disconnected targets. This preserves the contiguous forecast path and permits peak-timing analysis; the manuscript may still report the five policy-relevant lead times prominently.</w:t>
      </w:r>
    </w:p>
    <w:p>
      <w:pPr>
        <w:pStyle w:val="Heading2"/>
        <w:keepNext/>
        <w:keepLines w:val="0"/>
      </w:pPr>
      <w:r>
        <w:t>4.3 Data Quality and Leakage Controls</w:t>
      </w:r>
    </w:p>
    <w:p>
      <w:pPr>
        <w:numPr>
          <w:ilvl w:val="0"/>
          <w:numId w:val="10"/>
        </w:numPr>
        <w:spacing w:after="80" w:line="300" w:lineRule="auto"/>
      </w:pPr>
      <w:r>
        <w:rPr>
          <w:rFonts w:ascii="Calibri" w:hAnsi="Calibri" w:cs="Calibri"/>
          <w:color w:val="000000"/>
          <w:sz w:val="22"/>
        </w:rPr>
        <w:t>Verify one row per calendar day and one value per station; explicitly report the actual last date (Paper 1 states 2006-2025 but its test period ends in November 2025).</w:t>
      </w:r>
    </w:p>
    <w:p>
      <w:pPr>
        <w:numPr>
          <w:ilvl w:val="0"/>
          <w:numId w:val="10"/>
        </w:numPr>
        <w:spacing w:after="80" w:line="300" w:lineRule="auto"/>
      </w:pPr>
      <w:r>
        <w:rPr>
          <w:rFonts w:ascii="Calibri" w:hAnsi="Calibri" w:cs="Calibri"/>
          <w:color w:val="000000"/>
          <w:sz w:val="22"/>
        </w:rPr>
        <w:t>Create missingness summaries by station, year and wet/dry season before interpolation.</w:t>
      </w:r>
    </w:p>
    <w:p>
      <w:pPr>
        <w:numPr>
          <w:ilvl w:val="0"/>
          <w:numId w:val="10"/>
        </w:numPr>
        <w:spacing w:after="80" w:line="300" w:lineRule="auto"/>
      </w:pPr>
      <w:r>
        <w:rPr>
          <w:rFonts w:ascii="Calibri" w:hAnsi="Calibri" w:cs="Calibri"/>
          <w:color w:val="000000"/>
          <w:sz w:val="22"/>
        </w:rPr>
        <w:t>Do not use two-sided interpolation across validation or test boundaries. For operational evaluation, use causal imputation, masking or exclusion of windows with unavailable inputs.</w:t>
      </w:r>
    </w:p>
    <w:p>
      <w:pPr>
        <w:numPr>
          <w:ilvl w:val="0"/>
          <w:numId w:val="10"/>
        </w:numPr>
        <w:spacing w:after="80" w:line="300" w:lineRule="auto"/>
      </w:pPr>
      <w:r>
        <w:rPr>
          <w:rFonts w:ascii="Calibri" w:hAnsi="Calibri" w:cs="Calibri"/>
          <w:color w:val="000000"/>
          <w:sz w:val="22"/>
        </w:rPr>
        <w:t>Fit scalers independently inside each training fold and apply them unchanged to validation and test data.</w:t>
      </w:r>
    </w:p>
    <w:p>
      <w:pPr>
        <w:numPr>
          <w:ilvl w:val="0"/>
          <w:numId w:val="10"/>
        </w:numPr>
        <w:spacing w:after="80" w:line="300" w:lineRule="auto"/>
      </w:pPr>
      <w:r>
        <w:rPr>
          <w:rFonts w:ascii="Calibri" w:hAnsi="Calibri" w:cs="Calibri"/>
          <w:color w:val="000000"/>
          <w:sz w:val="22"/>
        </w:rPr>
        <w:t>Do not clip validation or test values to the training MinMax range. Values below 0 or above 1 are legitimate evidence of distribution shift and must remain available for inverse transformation and error analysis.</w:t>
      </w:r>
    </w:p>
    <w:p>
      <w:pPr>
        <w:numPr>
          <w:ilvl w:val="0"/>
          <w:numId w:val="10"/>
        </w:numPr>
        <w:spacing w:after="80" w:line="300" w:lineRule="auto"/>
      </w:pPr>
      <w:r>
        <w:rPr>
          <w:rFonts w:ascii="Calibri" w:hAnsi="Calibri" w:cs="Calibri"/>
          <w:color w:val="000000"/>
          <w:sz w:val="22"/>
        </w:rPr>
        <w:t>Estimate cross-correlation lags and select input lags using training data only; report them as descriptive evidence, not causal travel time.</w:t>
      </w:r>
    </w:p>
    <w:p>
      <w:pPr>
        <w:numPr>
          <w:ilvl w:val="0"/>
          <w:numId w:val="10"/>
        </w:numPr>
        <w:spacing w:after="80" w:line="300" w:lineRule="auto"/>
      </w:pPr>
      <w:r>
        <w:rPr>
          <w:rFonts w:ascii="Calibri" w:hAnsi="Calibri" w:cs="Calibri"/>
          <w:color w:val="000000"/>
          <w:sz w:val="22"/>
        </w:rPr>
        <w:t>Construct windows after splits are defined, while allowing only historical context from before a validation/test start. Targets must lie entirely inside the evaluated period.</w:t>
      </w:r>
    </w:p>
    <w:p>
      <w:pPr>
        <w:numPr>
          <w:ilvl w:val="0"/>
          <w:numId w:val="10"/>
        </w:numPr>
        <w:spacing w:after="80" w:line="300" w:lineRule="auto"/>
      </w:pPr>
      <w:r>
        <w:rPr>
          <w:rFonts w:ascii="Calibri" w:hAnsi="Calibri" w:cs="Calibri"/>
          <w:color w:val="000000"/>
          <w:sz w:val="22"/>
        </w:rPr>
        <w:t>Record datum/unit consistency for every gauge; do not treat absolute levels as directly comparable if station datums differ.</w:t>
      </w:r>
    </w:p>
    <w:p>
      <w:pPr>
        <w:pStyle w:val="Heading2"/>
        <w:keepNext/>
        <w:keepLines w:val="0"/>
      </w:pPr>
      <w:r>
        <w:t>4.4 Temporal Evaluation Design</w:t>
      </w:r>
    </w:p>
    <w:p>
      <w:pPr>
        <w:spacing w:after="120"/>
      </w:pPr>
      <w:r>
        <w:rPr>
          <w:rFonts w:ascii="Calibri" w:hAnsi="Calibri" w:cs="Calibri"/>
          <w:i w:val="0"/>
          <w:color w:val="000000"/>
          <w:sz w:val="22"/>
        </w:rPr>
        <w:t>Because 2024 and 2025 have already influenced Paper 1, the 2025 period should not be described as untouched in Paper 2. Use rolling-origin evaluation as the principal robustness design and lock every modelling choice before the final evaluation period is run.</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700"/>
        <w:gridCol w:w="2300"/>
        <w:gridCol w:w="2500"/>
        <w:gridCol w:w="2860"/>
      </w:tblGrid>
      <w:tr>
        <w:trPr>
          <w:tblHeader w:val="true"/>
        </w:trPr>
        <w:tc>
          <w:tcPr>
            <w:tcW w:type="dxa" w:w="17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Stage</w:t>
            </w:r>
          </w:p>
        </w:tc>
        <w:tc>
          <w:tcPr>
            <w:tcW w:type="dxa" w:w="23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Training window</w:t>
            </w:r>
          </w:p>
        </w:tc>
        <w:tc>
          <w:tcPr>
            <w:tcW w:type="dxa" w:w="25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Validation / test window</w:t>
            </w:r>
          </w:p>
        </w:tc>
        <w:tc>
          <w:tcPr>
            <w:tcW w:type="dxa" w:w="286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Purpose</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Development fold A</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2006-2016</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Validate 2017; test 2018</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Early temporal generalisation</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Development fold B</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2006-2018</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Validate 2019; test 2020</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Different hydrological regime</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Development fold C</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2006-2020</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Validate 2021; test 2022</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Recent-period robustness</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Development fold D</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2006-2022</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Validate 2023; test 2024</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Near-current robustness</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Locked final evaluation</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2006-2023</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Validate 2024; test Jan-Nov 2025</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Continuity with Paper 1; label as final-period test, not untouched</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Preferred future extension</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All data through 2025</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Prospective 2026 holdout when complete</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Strongest independent confirmation</w:t>
            </w:r>
          </w:p>
        </w:tc>
      </w:tr>
    </w:tbl>
    <w:p>
      <w:pPr>
        <w:spacing w:after="20"/>
      </w:pPr>
    </w:p>
    <w:p>
      <w:pPr>
        <w:spacing w:after="120"/>
      </w:pPr>
      <w:r>
        <w:rPr>
          <w:rFonts w:ascii="Calibri" w:hAnsi="Calibri" w:cs="Calibri"/>
          <w:i w:val="0"/>
          <w:color w:val="000000"/>
          <w:sz w:val="22"/>
        </w:rPr>
        <w:t>For every fold, purge the last 14 forecast origins from the training partition before validation, and from validation before test, so that no fourteen-day target window crosses the next partition boundary. Score every model on the same eligible forecast-origin dates and discard the final 14 origins of an evaluation period when complete targets are unavailable. Fit preprocessing, lag selection and thresholds only on the corresponding training partition.</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Practical alternative: </w:t>
            </w:r>
            <w:r>
              <w:rPr>
                <w:rFonts w:ascii="Calibri" w:hAnsi="Calibri" w:cs="Calibri"/>
                <w:color w:val="263238"/>
                <w:sz w:val="22"/>
              </w:rPr>
              <w:t>If full rolling-origin retraining is computationally constrained, retain at least three expanding-window test years and publish the per-year results. A single 2025 score is insufficient evidence for stable 14-day forecasting.</w:t>
            </w:r>
          </w:p>
        </w:tc>
      </w:tr>
    </w:tbl>
    <w:p>
      <w:pPr>
        <w:spacing w:after="20"/>
      </w:pPr>
    </w:p>
    <w:p>
      <w:pPr>
        <w:pStyle w:val="Heading1"/>
        <w:keepNext/>
        <w:keepLines w:val="0"/>
      </w:pPr>
      <w:r>
        <w:t>5. Staged Experimental Design</w:t>
      </w:r>
    </w:p>
    <w:p>
      <w:pPr>
        <w:spacing w:after="120"/>
      </w:pPr>
      <w:r>
        <w:rPr>
          <w:rFonts w:ascii="Calibri" w:hAnsi="Calibri" w:cs="Calibri"/>
          <w:i w:val="0"/>
          <w:color w:val="000000"/>
          <w:sz w:val="22"/>
        </w:rPr>
        <w:t>Use a staged design instead of a complete model x strategy x look-back x station x seed factorial. Each stage answers one question while fixing the choices established previously. This reduces compute and makes causal interpretation of each ablation clearer.</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250"/>
        <w:gridCol w:w="2770"/>
        <w:gridCol w:w="2860"/>
        <w:gridCol w:w="2480"/>
      </w:tblGrid>
      <w:tr>
        <w:trPr>
          <w:tblHeader w:val="true"/>
        </w:trPr>
        <w:tc>
          <w:tcPr>
            <w:tcW w:type="dxa" w:w="125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Phase</w:t>
            </w:r>
          </w:p>
        </w:tc>
        <w:tc>
          <w:tcPr>
            <w:tcW w:type="dxa" w:w="277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Variable under test</w:t>
            </w:r>
          </w:p>
        </w:tc>
        <w:tc>
          <w:tcPr>
            <w:tcW w:type="dxa" w:w="286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Fixed conditions</w:t>
            </w:r>
          </w:p>
        </w:tc>
        <w:tc>
          <w:tcPr>
            <w:tcW w:type="dxa" w:w="248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Decision output</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E0 Data integrity</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Splits, windows, scaling, missingness</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No model selection</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Validated dataset manifest and leakage tests</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E1 Forecast strategy</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Recursive vs direct-per-horizon vs direct multi-output</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LSTM; all stations; L=60</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Select strategy using validation MAE at days 7/14</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E2 Architecture</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LSTM vs TCN-GRU vs compact Transformer</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Selected strategy; all stations; L=60</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Select principal architecture; retain LSTM baseline</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E3 Look-back</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 = 7, 14, 30, 60 days</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All stations; selected architecture and LSTM</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Select shortest window within one standard error of best</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E4 Station value</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Incremental sets and leave-one-out sets</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Freeze model, look-back, tuning and seed policy</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Contribution by station and horizon</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E5 Robustness</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Rolling folds, five seeds, wet/high-water subsets</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Freeze all modelling decisions</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Confidence intervals, operational reliability</w:t>
            </w:r>
          </w:p>
        </w:tc>
      </w:tr>
      <w:tr>
        <w:tc>
          <w:tcPr>
            <w:tcW w:type="dxa" w:w="12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E6 Optional UQ</w:t>
            </w:r>
          </w:p>
        </w:tc>
        <w:tc>
          <w:tcPr>
            <w:tcW w:type="dxa" w:w="277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Quantile loss or Bayesian/MC-dropout intervals</w:t>
            </w:r>
          </w:p>
        </w:tc>
        <w:tc>
          <w:tcPr>
            <w:tcW w:type="dxa" w:w="28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Best deterministic setup</w:t>
            </w:r>
          </w:p>
        </w:tc>
        <w:tc>
          <w:tcPr>
            <w:tcW w:type="dxa" w:w="248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Coverage and interval width</w:t>
            </w:r>
          </w:p>
        </w:tc>
      </w:tr>
    </w:tbl>
    <w:p>
      <w:pPr>
        <w:spacing w:after="20"/>
      </w:pPr>
    </w:p>
    <w:p>
      <w:pPr>
        <w:pStyle w:val="Heading2"/>
        <w:keepNext/>
        <w:keepLines w:val="0"/>
      </w:pPr>
      <w:r>
        <w:t>5.1 Forecast-Strategy Experiment</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700"/>
        <w:gridCol w:w="3100"/>
        <w:gridCol w:w="2300"/>
        <w:gridCol w:w="2260"/>
      </w:tblGrid>
      <w:tr>
        <w:trPr>
          <w:tblHeader w:val="true"/>
        </w:trPr>
        <w:tc>
          <w:tcPr>
            <w:tcW w:type="dxa" w:w="17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Strategy</w:t>
            </w:r>
          </w:p>
        </w:tc>
        <w:tc>
          <w:tcPr>
            <w:tcW w:type="dxa" w:w="31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Implementation</w:t>
            </w:r>
          </w:p>
        </w:tc>
        <w:tc>
          <w:tcPr>
            <w:tcW w:type="dxa" w:w="23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Strength</w:t>
            </w:r>
          </w:p>
        </w:tc>
        <w:tc>
          <w:tcPr>
            <w:tcW w:type="dxa" w:w="226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Known risk</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Recursive</w:t>
            </w:r>
          </w:p>
        </w:tc>
        <w:tc>
          <w:tcPr>
            <w:tcW w:type="dxa" w:w="31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Train t+1 model; feed predictions back until t+14</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Simple continuity with Paper 1</w:t>
            </w:r>
          </w:p>
        </w:tc>
        <w:tc>
          <w:tcPr>
            <w:tcW w:type="dxa" w:w="22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Must not consume future observed upstream values</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Direct independent</w:t>
            </w:r>
          </w:p>
        </w:tc>
        <w:tc>
          <w:tcPr>
            <w:tcW w:type="dxa" w:w="31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Separate model for each h in {1,3,5,7,14}</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No recursive propagation</w:t>
            </w:r>
          </w:p>
        </w:tc>
        <w:tc>
          <w:tcPr>
            <w:tcW w:type="dxa" w:w="22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Five models; does not produce a complete path</w:t>
            </w:r>
          </w:p>
        </w:tc>
      </w:tr>
      <w:tr>
        <w:tc>
          <w:tcPr>
            <w:tcW w:type="dxa" w:w="17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Direct multi-output (MIMO)</w:t>
            </w:r>
          </w:p>
        </w:tc>
        <w:tc>
          <w:tcPr>
            <w:tcW w:type="dxa" w:w="31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One model outputs t+1 through t+14</w:t>
            </w:r>
          </w:p>
        </w:tc>
        <w:tc>
          <w:tcPr>
            <w:tcW w:type="dxa" w:w="23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Learns dependence among horizons and provides full path</w:t>
            </w:r>
          </w:p>
        </w:tc>
        <w:tc>
          <w:tcPr>
            <w:tcW w:type="dxa" w:w="22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Requires balanced loss across horizons</w:t>
            </w:r>
          </w:p>
        </w:tc>
      </w:tr>
    </w:tbl>
    <w:p>
      <w:pPr>
        <w:spacing w:after="20"/>
      </w:pPr>
    </w:p>
    <w:p>
      <w:pPr>
        <w:spacing w:after="120"/>
      </w:pPr>
      <w:r>
        <w:rPr>
          <w:rFonts w:ascii="Calibri" w:hAnsi="Calibri" w:cs="Calibri"/>
          <w:b/>
          <w:color w:val="000000"/>
          <w:sz w:val="22"/>
        </w:rPr>
        <w:t>Primary recommendation:</w:t>
      </w:r>
      <w:r>
        <w:rPr>
          <w:rFonts w:ascii="Calibri" w:hAnsi="Calibri" w:cs="Calibri"/>
          <w:i w:val="0"/>
          <w:color w:val="000000"/>
          <w:sz w:val="22"/>
        </w:rPr>
        <w:t xml:space="preserve"> use direct multi-output as the main framework and recursive LSTM as the explicit comparator. Direct-independent models are useful only if resources allow the third strategy.</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Recursive-input rule: </w:t>
            </w:r>
            <w:r>
              <w:rPr>
                <w:rFonts w:ascii="Calibri" w:hAnsi="Calibri" w:cs="Calibri"/>
                <w:color w:val="263238"/>
                <w:sz w:val="22"/>
              </w:rPr>
              <w:t>A multi-station recursive model cannot use observed CSA, LUA, CKH or VIE values from t+1 onward because those observations are unknown at issue time. Either forecast all five stations jointly at each recursive step or restrict the recursive comparator to inputs genuinely available at issue time. Any use of realised future upstream levels is an oracle experiment and must not be reported as operational performance.</w:t>
            </w:r>
          </w:p>
        </w:tc>
      </w:tr>
    </w:tbl>
    <w:p>
      <w:pPr>
        <w:spacing w:after="20"/>
      </w:pPr>
    </w:p>
    <w:p>
      <w:pPr>
        <w:pStyle w:val="Heading2"/>
        <w:keepNext/>
        <w:keepLines w:val="0"/>
      </w:pPr>
      <w:r>
        <w:t>5.2 Model Set</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800"/>
        <w:gridCol w:w="2550"/>
        <w:gridCol w:w="501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Model</w:t>
            </w:r>
          </w:p>
        </w:tc>
        <w:tc>
          <w:tcPr>
            <w:tcW w:type="dxa" w:w="255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Role</w:t>
            </w:r>
          </w:p>
        </w:tc>
        <w:tc>
          <w:tcPr>
            <w:tcW w:type="dxa" w:w="501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Initial search space</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Persistence</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Mandatory naive baseline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Prediction at every horizon = NON_t; no tuning</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Seasonal naive</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Annual-cycle baseline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For target t+h, use NON_(t+h-365); no tuning</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Day-of-year climatology</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Training-only seasonal reference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Median NON for target day-of-year using training years only</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Ridge</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Lightweight multivariate baseline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alpha log scale 1e-4 to 1e4; flattened window</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LSTM</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Paper 1 continuity baseline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1-2 layers; 32/64/128 units; dropout 0-0.3; learning rate 1e-4 to 1e-3</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TCN-GRU</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Local/multi-scale temporal model</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32/64 filters; kernel 2/3/5; dilations 1/2/4/8; GRU 32/64/128; dropout 0.1-0.3</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Compact Transformer</w:t>
            </w:r>
          </w:p>
        </w:tc>
        <w:tc>
          <w:tcPr>
            <w:tcW w:type="dxa" w:w="25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Long-range dependency model</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d_model 32/64/128; 2/4 heads; 1-3 layers; FFN 2x/4x; dropout 0.1-0.3</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Model-scope rule: </w:t>
            </w:r>
            <w:r>
              <w:rPr>
                <w:rFonts w:ascii="Calibri" w:hAnsi="Calibri" w:cs="Calibri"/>
                <w:color w:val="263238"/>
                <w:sz w:val="22"/>
              </w:rPr>
              <w:t>Do not add a graph neural network unless the station graph itself becomes a research contribution. With only five linearly ordered gauges and roughly 7,000 daily samples, a GNN may add complexity without enough evidence. It is better positioned as future work or an optional extension after the core protocol is complete.</w:t>
            </w:r>
          </w:p>
        </w:tc>
      </w:tr>
    </w:tbl>
    <w:p>
      <w:pPr>
        <w:spacing w:after="20"/>
      </w:pPr>
    </w:p>
    <w:p>
      <w:pPr>
        <w:pStyle w:val="Heading2"/>
        <w:keepNext/>
        <w:keepLines w:val="0"/>
      </w:pPr>
      <w:r>
        <w:t>5.3 Station Configurations</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000"/>
        <w:gridCol w:w="3800"/>
        <w:gridCol w:w="4560"/>
      </w:tblGrid>
      <w:tr>
        <w:trPr>
          <w:tblHeader w:val="true"/>
        </w:trPr>
        <w:tc>
          <w:tcPr>
            <w:tcW w:type="dxa" w:w="100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ID</w:t>
            </w:r>
          </w:p>
        </w:tc>
        <w:tc>
          <w:tcPr>
            <w:tcW w:type="dxa" w:w="380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Inputs</w:t>
            </w:r>
          </w:p>
        </w:tc>
        <w:tc>
          <w:tcPr>
            <w:tcW w:type="dxa" w:w="4560"/>
            <w:shd w:fill="E8EEF5"/>
            <w:tcMar>
              <w:top w:w="80" w:type="dxa"/>
              <w:start w:w="120" w:type="dxa"/>
              <w:bottom w:w="80" w:type="dxa"/>
              <w:end w:w="120" w:type="dxa"/>
            </w:tcMar>
            <w:vAlign w:val="center"/>
          </w:tcPr>
          <w:p>
            <w:pPr>
              <w:spacing w:after="0"/>
              <w:jc w:val="center"/>
            </w:pPr>
            <w:r>
              <w:rPr>
                <w:rFonts w:ascii="Calibri" w:hAnsi="Calibri" w:cs="Calibri"/>
                <w:b/>
                <w:color w:val="0B2545"/>
                <w:sz w:val="18"/>
              </w:rPr>
              <w:t>Interpretation</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S0</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NON</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NON-only local history</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S1</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VIE + NON</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Add nearest upstream station</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S2</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CKH + VIE + NON</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Add near/mid upstream information</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S3</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LUA + CKH + VIE + NON</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Add farther upstream information</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S4</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CSA + LUA + CKH + VIE + NON</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Full five-station model</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L-CSA</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All except CSA</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Marginal contribution of CSA</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L-LUA</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All except LUA</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Marginal contribution of LUA</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L-CKH</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All except CKH</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Marginal contribution of CKH</w:t>
            </w:r>
          </w:p>
        </w:tc>
      </w:tr>
      <w:tr>
        <w:tc>
          <w:tcPr>
            <w:tcW w:type="dxa" w:w="10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L-VIE</w:t>
            </w:r>
          </w:p>
        </w:tc>
        <w:tc>
          <w:tcPr>
            <w:tcW w:type="dxa" w:w="380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All except VIE</w:t>
            </w:r>
          </w:p>
        </w:tc>
        <w:tc>
          <w:tcPr>
            <w:tcW w:type="dxa" w:w="4560"/>
            <w:tcMar>
              <w:top w:w="80" w:type="dxa"/>
              <w:start w:w="120" w:type="dxa"/>
              <w:bottom w:w="80" w:type="dxa"/>
              <w:end w:w="120" w:type="dxa"/>
            </w:tcMar>
            <w:vAlign w:val="center"/>
          </w:tcPr>
          <w:p>
            <w:pPr>
              <w:spacing w:after="0" w:line="252" w:lineRule="auto"/>
              <w:jc w:val="left"/>
            </w:pPr>
            <w:r>
              <w:rPr>
                <w:rFonts w:ascii="Calibri" w:hAnsi="Calibri" w:cs="Calibri"/>
                <w:color w:val="000000"/>
                <w:sz w:val="18"/>
              </w:rPr>
              <w:t>Marginal contribution of VIE</w:t>
            </w:r>
          </w:p>
        </w:tc>
      </w:tr>
    </w:tbl>
    <w:p>
      <w:pPr>
        <w:spacing w:after="20"/>
      </w:pPr>
    </w:p>
    <w:p>
      <w:pPr>
        <w:spacing w:after="120"/>
      </w:pPr>
      <w:r>
        <w:rPr>
          <w:rFonts w:ascii="Calibri" w:hAnsi="Calibri" w:cs="Calibri"/>
          <w:i w:val="0"/>
          <w:color w:val="000000"/>
          <w:sz w:val="22"/>
        </w:rPr>
        <w:t>Freeze architecture, look-back, loss, training budget and hyperparameters during station ablation. Re-tuning each station set would confound station value with tuning opportunity. Report delta-MAE relative to S0 and S4 for every horizon.</w:t>
      </w:r>
    </w:p>
    <w:p>
      <w:pPr>
        <w:pStyle w:val="Heading2"/>
        <w:keepNext/>
        <w:keepLines w:val="0"/>
      </w:pPr>
      <w:r>
        <w:t>5.4 Training and Tuning Policy</w:t>
      </w:r>
    </w:p>
    <w:p>
      <w:pPr>
        <w:numPr>
          <w:ilvl w:val="0"/>
          <w:numId w:val="10"/>
        </w:numPr>
        <w:spacing w:after="80" w:line="300" w:lineRule="auto"/>
      </w:pPr>
      <w:r>
        <w:rPr>
          <w:rFonts w:ascii="Calibri" w:hAnsi="Calibri" w:cs="Calibri"/>
          <w:color w:val="000000"/>
          <w:sz w:val="22"/>
        </w:rPr>
        <w:t>Use one framework for all neural models. For direct continuity with Paper 1, TensorFlow/Keras is recommended if its original code is available; otherwise implement every model consistently in PyTorch.</w:t>
      </w:r>
    </w:p>
    <w:p>
      <w:pPr>
        <w:numPr>
          <w:ilvl w:val="0"/>
          <w:numId w:val="10"/>
        </w:numPr>
        <w:spacing w:after="80" w:line="300" w:lineRule="auto"/>
      </w:pPr>
      <w:r>
        <w:rPr>
          <w:rFonts w:ascii="Calibri" w:hAnsi="Calibri" w:cs="Calibri"/>
          <w:color w:val="000000"/>
          <w:sz w:val="22"/>
        </w:rPr>
        <w:t>Tune on validation data only with a fixed budget, for example 30 Optuna trials per architecture. Never use test-period performance to choose hyperparameters.</w:t>
      </w:r>
    </w:p>
    <w:p>
      <w:pPr>
        <w:numPr>
          <w:ilvl w:val="0"/>
          <w:numId w:val="10"/>
        </w:numPr>
        <w:spacing w:after="80" w:line="300" w:lineRule="auto"/>
      </w:pPr>
      <w:r>
        <w:rPr>
          <w:rFonts w:ascii="Calibri" w:hAnsi="Calibri" w:cs="Calibri"/>
          <w:color w:val="000000"/>
          <w:sz w:val="22"/>
        </w:rPr>
        <w:t>Maximum 150 epochs, early stopping patience 15 and learning-rate reduction; restore the best validation checkpoint.</w:t>
      </w:r>
    </w:p>
    <w:p>
      <w:pPr>
        <w:numPr>
          <w:ilvl w:val="0"/>
          <w:numId w:val="10"/>
        </w:numPr>
        <w:spacing w:after="80" w:line="300" w:lineRule="auto"/>
      </w:pPr>
      <w:r>
        <w:rPr>
          <w:rFonts w:ascii="Calibri" w:hAnsi="Calibri" w:cs="Calibri"/>
          <w:color w:val="000000"/>
          <w:sz w:val="22"/>
        </w:rPr>
        <w:t>Use the same five seeds for final neural runs, for example 42, 52, 62, 72 and 82. Report mean, standard deviation and all seed-level artifacts.</w:t>
      </w:r>
    </w:p>
    <w:p>
      <w:pPr>
        <w:numPr>
          <w:ilvl w:val="0"/>
          <w:numId w:val="10"/>
        </w:numPr>
        <w:spacing w:after="80" w:line="300" w:lineRule="auto"/>
      </w:pPr>
      <w:r>
        <w:rPr>
          <w:rFonts w:ascii="Calibri" w:hAnsi="Calibri" w:cs="Calibri"/>
          <w:color w:val="000000"/>
          <w:sz w:val="22"/>
        </w:rPr>
        <w:t>Start with MSE or Huber loss. If a peak-weighted loss is studied, treat it as a separate ablation and set weights from training data only.</w:t>
      </w:r>
    </w:p>
    <w:p>
      <w:pPr>
        <w:numPr>
          <w:ilvl w:val="0"/>
          <w:numId w:val="10"/>
        </w:numPr>
        <w:spacing w:after="80" w:line="300" w:lineRule="auto"/>
      </w:pPr>
      <w:r>
        <w:rPr>
          <w:rFonts w:ascii="Calibri" w:hAnsi="Calibri" w:cs="Calibri"/>
          <w:color w:val="000000"/>
          <w:sz w:val="22"/>
        </w:rPr>
        <w:t>Keep the optimisation budget comparable across architectures and report parameter count, training time and inference time.</w:t>
      </w:r>
    </w:p>
    <w:p>
      <w:pPr>
        <w:pStyle w:val="Heading1"/>
        <w:keepNext/>
        <w:keepLines w:val="0"/>
      </w:pPr>
      <w:r>
        <w:t>6. Evaluation and Statistical Analysis</w:t>
      </w:r>
    </w:p>
    <w:p>
      <w:pPr>
        <w:pStyle w:val="Heading2"/>
        <w:keepNext/>
        <w:keepLines w:val="0"/>
      </w:pPr>
      <w:r>
        <w:t>6.1 Metrics</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850"/>
        <w:gridCol w:w="2500"/>
        <w:gridCol w:w="5010"/>
      </w:tblGrid>
      <w:tr>
        <w:trPr>
          <w:tblHeader w:val="true"/>
        </w:trPr>
        <w:tc>
          <w:tcPr>
            <w:tcW w:type="dxa" w:w="185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Category</w:t>
            </w:r>
          </w:p>
        </w:tc>
        <w:tc>
          <w:tcPr>
            <w:tcW w:type="dxa" w:w="25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Metric</w:t>
            </w:r>
          </w:p>
        </w:tc>
        <w:tc>
          <w:tcPr>
            <w:tcW w:type="dxa" w:w="501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Reporting rule</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Primary error</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MAE, RMSE (metres)</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Report separately for h=1,3,5,7,14; never average horizons alone</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Hydrological skill</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NSE, KGE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Report by fold and horizon; include persistence skill context</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Bias</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Mean error / percent bias</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Identify systematic underprediction at long horizons</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High water</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MAE/RMSE on official alert days or training-defined &gt;=90th percentile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Lock threshold before test evaluation</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Events</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POD/recall, FAR, CSI, F1</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Use only when an official or defensible flood-stage threshold exists</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Peaks</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Peak magnitude error and peak timing error (days)</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Compute per separated high-water event</w:t>
            </w:r>
          </w:p>
        </w:tc>
      </w:tr>
      <w:tr>
        <w:tc>
          <w:tcPr>
            <w:tcW w:type="dxa" w:w="185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Optional intervals</w:t>
            </w:r>
          </w:p>
        </w:tc>
        <w:tc>
          <w:tcPr>
            <w:tcW w:type="dxa" w:w="25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PICP, MPIW and interval score</w:t>
            </w:r>
          </w:p>
        </w:tc>
        <w:tc>
          <w:tcPr>
            <w:tcW w:type="dxa" w:w="501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Required only for probabilistic extension</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Nong Khai event definition: </w:t>
            </w:r>
            <w:r>
              <w:rPr>
                <w:rFonts w:ascii="Calibri" w:hAnsi="Calibri" w:cs="Calibri"/>
                <w:color w:val="263238"/>
                <w:sz w:val="22"/>
              </w:rPr>
              <w:t>Paper 1 records an alarm level of 11.0 m and a flood level of 12.2 m. Confirm both levels, the gauge datum and their current operational status with the responsible agency before freezing Paper 2. If either threshold yields too few cases, add training-only 90th and 95th percentile analyses. Separate events after at least three consecutive days below the chosen threshold and report both the number of forecast cases and independent events; treat results based on fewer than 10 events as exploratory.</w:t>
            </w:r>
          </w:p>
        </w:tc>
      </w:tr>
    </w:tbl>
    <w:p>
      <w:pPr>
        <w:spacing w:after="20"/>
      </w:pPr>
    </w:p>
    <w:p>
      <w:pPr>
        <w:pStyle w:val="Heading2"/>
        <w:keepNext/>
        <w:keepLines w:val="0"/>
      </w:pPr>
      <w:r>
        <w:t>6.2 Statistical Testing</w:t>
      </w:r>
    </w:p>
    <w:p>
      <w:pPr>
        <w:numPr>
          <w:ilvl w:val="0"/>
          <w:numId w:val="10"/>
        </w:numPr>
        <w:spacing w:after="80" w:line="300" w:lineRule="auto"/>
      </w:pPr>
      <w:r>
        <w:rPr>
          <w:rFonts w:ascii="Calibri" w:hAnsi="Calibri" w:cs="Calibri"/>
          <w:color w:val="000000"/>
          <w:sz w:val="22"/>
        </w:rPr>
        <w:t>Use paired forecast errors on exactly the same issue dates and horizons.</w:t>
      </w:r>
    </w:p>
    <w:p>
      <w:pPr>
        <w:numPr>
          <w:ilvl w:val="0"/>
          <w:numId w:val="10"/>
        </w:numPr>
        <w:spacing w:after="80" w:line="300" w:lineRule="auto"/>
      </w:pPr>
      <w:r>
        <w:rPr>
          <w:rFonts w:ascii="Calibri" w:hAnsi="Calibri" w:cs="Calibri"/>
          <w:color w:val="000000"/>
          <w:sz w:val="22"/>
        </w:rPr>
        <w:t>Estimate 95% confidence intervals for delta-MAE and delta-RMSE with 2,000 moving-block bootstrap resamples using 30-day blocks; repeat with 14- and 60-day blocks as a sensitivity analysis. Use event-level resampling for peak metrics.</w:t>
      </w:r>
    </w:p>
    <w:p>
      <w:pPr>
        <w:numPr>
          <w:ilvl w:val="0"/>
          <w:numId w:val="10"/>
        </w:numPr>
        <w:spacing w:after="80" w:line="300" w:lineRule="auto"/>
      </w:pPr>
      <w:r>
        <w:rPr>
          <w:rFonts w:ascii="Calibri" w:hAnsi="Calibri" w:cs="Calibri"/>
          <w:color w:val="000000"/>
          <w:sz w:val="22"/>
        </w:rPr>
        <w:t>Use the Diebold-Mariano test per primary horizon for the locked primary comparisons, with a HAC variance estimate whose lag is at least h-1.</w:t>
      </w:r>
    </w:p>
    <w:p>
      <w:pPr>
        <w:numPr>
          <w:ilvl w:val="0"/>
          <w:numId w:val="10"/>
        </w:numPr>
        <w:spacing w:after="80" w:line="300" w:lineRule="auto"/>
      </w:pPr>
      <w:r>
        <w:rPr>
          <w:rFonts w:ascii="Calibri" w:hAnsi="Calibri" w:cs="Calibri"/>
          <w:color w:val="000000"/>
          <w:sz w:val="22"/>
        </w:rPr>
        <w:t>For multiple model/horizon comparisons, control family-wise error using Holm correction and publish adjusted p-values.</w:t>
      </w:r>
    </w:p>
    <w:p>
      <w:pPr>
        <w:numPr>
          <w:ilvl w:val="0"/>
          <w:numId w:val="10"/>
        </w:numPr>
        <w:spacing w:after="80" w:line="300" w:lineRule="auto"/>
      </w:pPr>
      <w:r>
        <w:rPr>
          <w:rFonts w:ascii="Calibri" w:hAnsi="Calibri" w:cs="Calibri"/>
          <w:color w:val="000000"/>
          <w:sz w:val="22"/>
        </w:rPr>
        <w:t>Do not call a model operationally better from statistical significance alone. Report absolute improvement in metres and effect size.</w:t>
      </w:r>
    </w:p>
    <w:p>
      <w:pPr>
        <w:numPr>
          <w:ilvl w:val="0"/>
          <w:numId w:val="10"/>
        </w:numPr>
        <w:spacing w:after="80" w:line="300" w:lineRule="auto"/>
      </w:pPr>
      <w:r>
        <w:rPr>
          <w:rFonts w:ascii="Calibri" w:hAnsi="Calibri" w:cs="Calibri"/>
          <w:color w:val="000000"/>
          <w:sz w:val="22"/>
        </w:rPr>
        <w:t>Declare the practical threshold before testing: claim a model win only when its paired confidence interval supports improvement and its MAE reduction is at least 5%; otherwise prefer the simpler model when performance is statistically indistinguishable.</w:t>
      </w:r>
    </w:p>
    <w:p>
      <w:pPr>
        <w:pStyle w:val="Heading2"/>
        <w:keepNext/>
        <w:keepLines w:val="0"/>
      </w:pPr>
      <w:r>
        <w:t>6.3 Result-Selection Rules</w:t>
      </w:r>
    </w:p>
    <w:p>
      <w:pPr>
        <w:numPr>
          <w:ilvl w:val="0"/>
          <w:numId w:val="13"/>
        </w:numPr>
        <w:spacing w:after="80" w:line="300" w:lineRule="auto"/>
      </w:pPr>
      <w:r>
        <w:rPr>
          <w:rFonts w:ascii="Calibri" w:hAnsi="Calibri" w:cs="Calibri"/>
          <w:color w:val="000000"/>
          <w:sz w:val="22"/>
        </w:rPr>
        <w:t>Select forecasting strategy using validation performance at days 7 and 14, not the final test period.</w:t>
      </w:r>
    </w:p>
    <w:p>
      <w:pPr>
        <w:numPr>
          <w:ilvl w:val="0"/>
          <w:numId w:val="13"/>
        </w:numPr>
        <w:spacing w:after="80" w:line="300" w:lineRule="auto"/>
      </w:pPr>
      <w:r>
        <w:rPr>
          <w:rFonts w:ascii="Calibri" w:hAnsi="Calibri" w:cs="Calibri"/>
          <w:color w:val="000000"/>
          <w:sz w:val="22"/>
        </w:rPr>
        <w:t>Select the architecture by average rank across MAE, RMSE and NSE, with MAE as the declared primary metric.</w:t>
      </w:r>
    </w:p>
    <w:p>
      <w:pPr>
        <w:numPr>
          <w:ilvl w:val="0"/>
          <w:numId w:val="13"/>
        </w:numPr>
        <w:spacing w:after="80" w:line="300" w:lineRule="auto"/>
      </w:pPr>
      <w:r>
        <w:rPr>
          <w:rFonts w:ascii="Calibri" w:hAnsi="Calibri" w:cs="Calibri"/>
          <w:color w:val="000000"/>
          <w:sz w:val="22"/>
        </w:rPr>
        <w:t>Select the shortest look-back whose mean validation MAE is within one standard error of the best window.</w:t>
      </w:r>
    </w:p>
    <w:p>
      <w:pPr>
        <w:numPr>
          <w:ilvl w:val="0"/>
          <w:numId w:val="13"/>
        </w:numPr>
        <w:spacing w:after="80" w:line="300" w:lineRule="auto"/>
      </w:pPr>
      <w:r>
        <w:rPr>
          <w:rFonts w:ascii="Calibri" w:hAnsi="Calibri" w:cs="Calibri"/>
          <w:color w:val="000000"/>
          <w:sz w:val="22"/>
        </w:rPr>
        <w:t>Run station ablation without re-tuning and interpret only confidence intervals paired on identical dates.</w:t>
      </w:r>
    </w:p>
    <w:p>
      <w:pPr>
        <w:numPr>
          <w:ilvl w:val="0"/>
          <w:numId w:val="13"/>
        </w:numPr>
        <w:spacing w:after="80" w:line="300" w:lineRule="auto"/>
      </w:pPr>
      <w:r>
        <w:rPr>
          <w:rFonts w:ascii="Calibri" w:hAnsi="Calibri" w:cs="Calibri"/>
          <w:color w:val="000000"/>
          <w:sz w:val="22"/>
        </w:rPr>
        <w:t>Freeze the protocol, code version and configuration hashes before the locked final evaluation.</w:t>
      </w:r>
    </w:p>
    <w:p>
      <w:pPr>
        <w:pStyle w:val="Heading1"/>
        <w:keepNext/>
        <w:keepLines w:val="0"/>
      </w:pPr>
      <w:r>
        <w:t>7. Reproducible Software Experiment Suite</w:t>
      </w:r>
    </w:p>
    <w:p>
      <w:pPr>
        <w:pStyle w:val="Heading2"/>
        <w:keepNext/>
        <w:keepLines w:val="0"/>
      </w:pPr>
      <w:r>
        <w:t>7.1 Recommended Stack</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600"/>
        <w:gridCol w:w="3000"/>
        <w:gridCol w:w="4760"/>
      </w:tblGrid>
      <w:tr>
        <w:trPr>
          <w:tblHeader w:val="true"/>
        </w:trPr>
        <w:tc>
          <w:tcPr>
            <w:tcW w:type="dxa" w:w="16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Layer</w:t>
            </w:r>
          </w:p>
        </w:tc>
        <w:tc>
          <w:tcPr>
            <w:tcW w:type="dxa" w:w="30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Recommended package</w:t>
            </w:r>
          </w:p>
        </w:tc>
        <w:tc>
          <w:tcPr>
            <w:tcW w:type="dxa" w:w="476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Purpose</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Runtime</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Python 3.11; uv or Conda lockfile</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Stable, repeatable environment</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Data</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pandas, NumPy, Pandera</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Ingestion, transformation and schema validation</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Classical ML</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scikit-learn</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Persistence wrappers, Ridge and preprocessing</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Deep learning</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TensorFlow/Keras or PyTorch (choose one)</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LSTM, TCN-GRU and Transformer</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Tuning</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Optuna</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Fixed-budget hyperparameter search</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Configuration</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Hydra/OmegaConf or validated YAML</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One source of truth for every run</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Tracking</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MLflow</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Metrics, parameters, checkpoints and artifacts</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Statistics</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SciPy, statsmodels</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Bootstrap, tests and confidence intervals</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Plots</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Matplotlib, seaborn</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Publication figures</w:t>
            </w:r>
          </w:p>
        </w:tc>
      </w:tr>
      <w:tr>
        <w:tc>
          <w:tcPr>
            <w:tcW w:type="dxa" w:w="16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Quality</w:t>
            </w:r>
          </w:p>
        </w:tc>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pytest, Ruff</w:t>
            </w:r>
          </w:p>
        </w:tc>
        <w:tc>
          <w:tcPr>
            <w:tcW w:type="dxa" w:w="47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Automated correctness and style checks</w:t>
            </w:r>
          </w:p>
        </w:tc>
      </w:tr>
    </w:tbl>
    <w:p>
      <w:pPr>
        <w:spacing w:after="20"/>
      </w:pPr>
    </w:p>
    <w:p>
      <w:pPr>
        <w:pStyle w:val="Heading2"/>
        <w:keepNext/>
        <w:keepLines w:val="0"/>
      </w:pPr>
      <w:r>
        <w:t>7.2 Project Modules</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Path</w:t>
            </w:r>
          </w:p>
        </w:tc>
        <w:tc>
          <w:tcPr>
            <w:tcW w:type="dxa" w:w="636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Responsibility</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configs/data.yaml</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Station order, date range, unit/datum notes, missing-data policy and split definitions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configs/models/*.yaml</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Architecture and search spaces for Ridge, LSTM, TCN-GRU and Transformer</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configs/suites/*.yaml</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E1-E6 experiment matrices and frozen comparison rules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src/data/validate.py</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Schema, duplicate dates, continuity, missingness and range checks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src/data/split.py</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Expanding-window folds and boundary assertions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src/data/windows.py</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Causal L x S inputs and fourteen-day targets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src/models/</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Model definitions with a common fit/predict interface</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src/train.py</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Seed control, tuning, early stopping, checkpointing and logging</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src/evaluate.py</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Inverse scaling, horizon metrics and prediction export</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src/analysis/</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Ablation, high-water events, bootstrap, DM tests and figures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tests/</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Unit, integration and leakage-regression tests</w:t>
            </w:r>
          </w:p>
        </w:tc>
      </w:tr>
      <w:tr>
        <w:tc>
          <w:tcPr>
            <w:tcW w:type="dxa" w:w="30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artifacts/</w:t>
            </w:r>
          </w:p>
        </w:tc>
        <w:tc>
          <w:tcPr>
            <w:tcW w:type="dxa" w:w="63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Immutable predictions, metrics, checkpoints, plots and manifests</w:t>
            </w:r>
          </w:p>
        </w:tc>
      </w:tr>
    </w:tbl>
    <w:p>
      <w:pPr>
        <w:spacing w:after="20"/>
      </w:pPr>
    </w:p>
    <w:p>
      <w:pPr>
        <w:pStyle w:val="Heading2"/>
        <w:keepNext/>
        <w:keepLines w:val="0"/>
      </w:pPr>
      <w:r>
        <w:t>7.3 Configuration Contract</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2F4F7"/>
            <w:tcMar>
              <w:top w:w="80" w:type="dxa"/>
              <w:start w:w="120" w:type="dxa"/>
              <w:bottom w:w="80" w:type="dxa"/>
              <w:end w:w="120" w:type="dxa"/>
            </w:tcMar>
            <w:vAlign w:val="center"/>
          </w:tcPr>
          <w:p>
            <w:pPr>
              <w:spacing w:after="0" w:line="240" w:lineRule="auto"/>
            </w:pPr>
            <w:r>
              <w:rPr>
                <w:rFonts w:ascii="Liberation Mono" w:hAnsi="Liberation Mono" w:cs="Liberation Mono"/>
                <w:color w:val="1F2933"/>
                <w:sz w:val="17"/>
              </w:rPr>
              <w:t>data:</w:t>
            </w:r>
            <w:r>
              <w:br/>
            </w:r>
            <w:r>
              <w:rPr>
                <w:rFonts w:ascii="Liberation Mono" w:hAnsi="Liberation Mono" w:cs="Liberation Mono"/>
                <w:color w:val="1F2933"/>
                <w:sz w:val="17"/>
              </w:rPr>
              <w:t xml:space="preserve">  stations: [CSA, LUA, CKH, VIE, NON]</w:t>
            </w:r>
            <w:r>
              <w:br/>
            </w:r>
            <w:r>
              <w:rPr>
                <w:rFonts w:ascii="Liberation Mono" w:hAnsi="Liberation Mono" w:cs="Liberation Mono"/>
                <w:color w:val="1F2933"/>
                <w:sz w:val="17"/>
              </w:rPr>
              <w:t xml:space="preserve">  target: NON</w:t>
            </w:r>
            <w:r>
              <w:br/>
            </w:r>
            <w:r>
              <w:rPr>
                <w:rFonts w:ascii="Liberation Mono" w:hAnsi="Liberation Mono" w:cs="Liberation Mono"/>
                <w:color w:val="1F2933"/>
                <w:sz w:val="17"/>
              </w:rPr>
              <w:t xml:space="preserve">  lookback_days: 60</w:t>
            </w:r>
            <w:r>
              <w:br/>
            </w:r>
            <w:r>
              <w:rPr>
                <w:rFonts w:ascii="Liberation Mono" w:hAnsi="Liberation Mono" w:cs="Liberation Mono"/>
                <w:color w:val="1F2933"/>
                <w:sz w:val="17"/>
              </w:rPr>
              <w:t xml:space="preserve">  output_days: 14</w:t>
            </w:r>
            <w:r>
              <w:br/>
            </w:r>
            <w:r>
              <w:rPr>
                <w:rFonts w:ascii="Liberation Mono" w:hAnsi="Liberation Mono" w:cs="Liberation Mono"/>
                <w:color w:val="1F2933"/>
                <w:sz w:val="17"/>
              </w:rPr>
              <w:t>evaluation:</w:t>
            </w:r>
            <w:r>
              <w:br/>
            </w:r>
            <w:r>
              <w:rPr>
                <w:rFonts w:ascii="Liberation Mono" w:hAnsi="Liberation Mono" w:cs="Liberation Mono"/>
                <w:color w:val="1F2933"/>
                <w:sz w:val="17"/>
              </w:rPr>
              <w:t xml:space="preserve">  report_horizons: [1, 3, 5, 7, 14]</w:t>
            </w:r>
            <w:r>
              <w:br/>
            </w:r>
            <w:r>
              <w:rPr>
                <w:rFonts w:ascii="Liberation Mono" w:hAnsi="Liberation Mono" w:cs="Liberation Mono"/>
                <w:color w:val="1F2933"/>
                <w:sz w:val="17"/>
              </w:rPr>
              <w:t xml:space="preserve">  purge_days: 14</w:t>
            </w:r>
            <w:r>
              <w:br/>
            </w:r>
            <w:r>
              <w:rPr>
                <w:rFonts w:ascii="Liberation Mono" w:hAnsi="Liberation Mono" w:cs="Liberation Mono"/>
                <w:color w:val="1F2933"/>
                <w:sz w:val="17"/>
              </w:rPr>
              <w:t xml:space="preserve">  common_forecast_origins: true</w:t>
            </w:r>
            <w:r>
              <w:br/>
            </w:r>
            <w:r>
              <w:rPr>
                <w:rFonts w:ascii="Liberation Mono" w:hAnsi="Liberation Mono" w:cs="Liberation Mono"/>
                <w:color w:val="1F2933"/>
                <w:sz w:val="17"/>
              </w:rPr>
              <w:t xml:space="preserve">  seeds: [42, 52, 62, 72, 82]</w:t>
            </w:r>
            <w:r>
              <w:br/>
            </w:r>
            <w:r>
              <w:rPr>
                <w:rFonts w:ascii="Liberation Mono" w:hAnsi="Liberation Mono" w:cs="Liberation Mono"/>
                <w:color w:val="1F2933"/>
                <w:sz w:val="17"/>
              </w:rPr>
              <w:t xml:space="preserve">  primary_metric: MAE</w:t>
            </w:r>
            <w:r>
              <w:br/>
            </w:r>
            <w:r>
              <w:rPr>
                <w:rFonts w:ascii="Liberation Mono" w:hAnsi="Liberation Mono" w:cs="Liberation Mono"/>
                <w:color w:val="1F2933"/>
                <w:sz w:val="17"/>
              </w:rPr>
              <w:t>training:</w:t>
            </w:r>
            <w:r>
              <w:br/>
            </w:r>
            <w:r>
              <w:rPr>
                <w:rFonts w:ascii="Liberation Mono" w:hAnsi="Liberation Mono" w:cs="Liberation Mono"/>
                <w:color w:val="1F2933"/>
                <w:sz w:val="17"/>
              </w:rPr>
              <w:t xml:space="preserve">  max_epochs: 150</w:t>
            </w:r>
            <w:r>
              <w:br/>
            </w:r>
            <w:r>
              <w:rPr>
                <w:rFonts w:ascii="Liberation Mono" w:hAnsi="Liberation Mono" w:cs="Liberation Mono"/>
                <w:color w:val="1F2933"/>
                <w:sz w:val="17"/>
              </w:rPr>
              <w:t xml:space="preserve">  early_stopping_patience: 15</w:t>
            </w:r>
            <w:r>
              <w:br/>
            </w:r>
            <w:r>
              <w:rPr>
                <w:rFonts w:ascii="Liberation Mono" w:hAnsi="Liberation Mono" w:cs="Liberation Mono"/>
                <w:color w:val="1F2933"/>
                <w:sz w:val="17"/>
              </w:rPr>
              <w:t xml:space="preserve">  scaler_fit_scope: train_only</w:t>
            </w:r>
            <w:r>
              <w:br/>
            </w:r>
            <w:r>
              <w:rPr>
                <w:rFonts w:ascii="Liberation Mono" w:hAnsi="Liberation Mono" w:cs="Liberation Mono"/>
                <w:color w:val="1F2933"/>
                <w:sz w:val="17"/>
              </w:rPr>
              <w:t xml:space="preserve">  clip_scaled_values: false</w:t>
            </w:r>
          </w:p>
        </w:tc>
      </w:tr>
    </w:tbl>
    <w:p>
      <w:pPr>
        <w:spacing w:after="20"/>
      </w:pPr>
    </w:p>
    <w:p>
      <w:pPr>
        <w:pStyle w:val="Heading2"/>
        <w:keepNext/>
        <w:keepLines w:val="0"/>
      </w:pPr>
      <w:r>
        <w:t>7.4 Command Sequence</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2F4F7"/>
            <w:tcMar>
              <w:top w:w="80" w:type="dxa"/>
              <w:start w:w="120" w:type="dxa"/>
              <w:bottom w:w="80" w:type="dxa"/>
              <w:end w:w="120" w:type="dxa"/>
            </w:tcMar>
            <w:vAlign w:val="center"/>
          </w:tcPr>
          <w:p>
            <w:pPr>
              <w:spacing w:after="0" w:line="240" w:lineRule="auto"/>
            </w:pPr>
            <w:r>
              <w:rPr>
                <w:rFonts w:ascii="Liberation Mono" w:hAnsi="Liberation Mono" w:cs="Liberation Mono"/>
                <w:color w:val="1F2933"/>
                <w:sz w:val="17"/>
              </w:rPr>
              <w:t>python -m src.data.validate --config configs/data.yaml</w:t>
            </w:r>
            <w:r>
              <w:br/>
            </w:r>
            <w:r>
              <w:rPr>
                <w:rFonts w:ascii="Liberation Mono" w:hAnsi="Liberation Mono" w:cs="Liberation Mono"/>
                <w:color w:val="1F2933"/>
                <w:sz w:val="17"/>
              </w:rPr>
              <w:t>python -m src.run_suite --suite E1_strategy</w:t>
            </w:r>
            <w:r>
              <w:br/>
            </w:r>
            <w:r>
              <w:rPr>
                <w:rFonts w:ascii="Liberation Mono" w:hAnsi="Liberation Mono" w:cs="Liberation Mono"/>
                <w:color w:val="1F2933"/>
                <w:sz w:val="17"/>
              </w:rPr>
              <w:t>python -m src.run_suite --suite E2_architecture</w:t>
            </w:r>
            <w:r>
              <w:br/>
            </w:r>
            <w:r>
              <w:rPr>
                <w:rFonts w:ascii="Liberation Mono" w:hAnsi="Liberation Mono" w:cs="Liberation Mono"/>
                <w:color w:val="1F2933"/>
                <w:sz w:val="17"/>
              </w:rPr>
              <w:t>python -m src.run_suite --suite E3_lookback</w:t>
            </w:r>
            <w:r>
              <w:br/>
            </w:r>
            <w:r>
              <w:rPr>
                <w:rFonts w:ascii="Liberation Mono" w:hAnsi="Liberation Mono" w:cs="Liberation Mono"/>
                <w:color w:val="1F2933"/>
                <w:sz w:val="17"/>
              </w:rPr>
              <w:t>python -m src.run_suite --suite E4_station_ablation</w:t>
            </w:r>
            <w:r>
              <w:br/>
            </w:r>
            <w:r>
              <w:rPr>
                <w:rFonts w:ascii="Liberation Mono" w:hAnsi="Liberation Mono" w:cs="Liberation Mono"/>
                <w:color w:val="1F2933"/>
                <w:sz w:val="17"/>
              </w:rPr>
              <w:t>python -m src.run_suite --suite E5_robustness --frozen</w:t>
            </w:r>
            <w:r>
              <w:br/>
            </w:r>
            <w:r>
              <w:rPr>
                <w:rFonts w:ascii="Liberation Mono" w:hAnsi="Liberation Mono" w:cs="Liberation Mono"/>
                <w:color w:val="1F2933"/>
                <w:sz w:val="17"/>
              </w:rPr>
              <w:t>python -m src.analysis.build_tables</w:t>
            </w:r>
            <w:r>
              <w:br/>
            </w:r>
            <w:r>
              <w:rPr>
                <w:rFonts w:ascii="Liberation Mono" w:hAnsi="Liberation Mono" w:cs="Liberation Mono"/>
                <w:color w:val="1F2933"/>
                <w:sz w:val="17"/>
              </w:rPr>
              <w:t>python -m src.analysis.build_figures</w:t>
            </w:r>
            <w:r>
              <w:br/>
            </w:r>
            <w:r>
              <w:rPr>
                <w:rFonts w:ascii="Liberation Mono" w:hAnsi="Liberation Mono" w:cs="Liberation Mono"/>
                <w:color w:val="1F2933"/>
                <w:sz w:val="17"/>
              </w:rPr>
              <w:t>pytest -q</w:t>
            </w:r>
          </w:p>
        </w:tc>
      </w:tr>
    </w:tbl>
    <w:p>
      <w:pPr>
        <w:spacing w:after="20"/>
      </w:pPr>
    </w:p>
    <w:p>
      <w:pPr>
        <w:pStyle w:val="Heading2"/>
        <w:keepNext/>
        <w:keepLines w:val="0"/>
      </w:pPr>
      <w:r>
        <w:t>7.5 Automated Test Suite</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00"/>
        <w:gridCol w:w="4400"/>
        <w:gridCol w:w="4060"/>
      </w:tblGrid>
      <w:tr>
        <w:trPr>
          <w:tblHeader w:val="true"/>
        </w:trPr>
        <w:tc>
          <w:tcPr>
            <w:tcW w:type="dxa" w:w="90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Test ID</w:t>
            </w:r>
          </w:p>
        </w:tc>
        <w:tc>
          <w:tcPr>
            <w:tcW w:type="dxa" w:w="440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Assertion</w:t>
            </w:r>
          </w:p>
        </w:tc>
        <w:tc>
          <w:tcPr>
            <w:tcW w:type="dxa" w:w="406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Failure prevented</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T01</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Dates are unique, sorted and daily within retained segments</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Duplicate or displaced observations</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T02</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Train, validation and test targets never overlap</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Temporal leakage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T03</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For every sample, max(input date) &lt; min(target date)</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Off-by-one target alignment</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T04</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Scaler parameters are derived only from training indices</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Validation/test distribution leakage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T05</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Imputation never reads a future value across a split boundary</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Two-sided interpolation leakage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T06</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Inverse-transform returns original training values within tolerance</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Unit/reporting errors</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T07</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Persistence predictions exactly equal NON at issue time</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Broken naive baseline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T08</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Identical seed/configuration reproduces predictions within tolerance</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Uncontrolled randomness</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T09</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Metric functions match hand-computed fixtures</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Incorrect MAE/RMSE/NSE/KGE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T10</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 small synthetic dataset completes validate-train-evaluate-export</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Pipeline integration failure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T11</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Prediction export has issue_date, target_date, horizon, observed and predicted</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Untraceable statistical comparisons</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T12</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Frozen suite refuses a changed config or code hash</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Post-test tuning</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T13</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All compared models share identical eligible issue dates per fold/horizon</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Unpaired or unfair comparisons</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T14</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Recursive inference never reads realised upstream values after issue time</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Oracle future-input leakage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T15</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Out-of-range scaled test values remain unclipped and invert correctly</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Masked distribution shift</w:t>
            </w:r>
          </w:p>
        </w:tc>
      </w:tr>
    </w:tbl>
    <w:p>
      <w:pPr>
        <w:spacing w:after="20"/>
      </w:pPr>
    </w:p>
    <w:p>
      <w:pPr>
        <w:pStyle w:val="Heading2"/>
        <w:keepNext/>
        <w:keepLines w:val="0"/>
      </w:pPr>
      <w:r>
        <w:t>7.6 Required Artifact for Every Run</w:t>
      </w:r>
    </w:p>
    <w:p>
      <w:pPr>
        <w:numPr>
          <w:ilvl w:val="0"/>
          <w:numId w:val="10"/>
        </w:numPr>
        <w:spacing w:after="80" w:line="300" w:lineRule="auto"/>
      </w:pPr>
      <w:r>
        <w:rPr>
          <w:rFonts w:ascii="Calibri" w:hAnsi="Calibri" w:cs="Calibri"/>
          <w:color w:val="000000"/>
          <w:sz w:val="22"/>
        </w:rPr>
        <w:t>Resolved configuration and experiment ID</w:t>
      </w:r>
    </w:p>
    <w:p>
      <w:pPr>
        <w:numPr>
          <w:ilvl w:val="0"/>
          <w:numId w:val="10"/>
        </w:numPr>
        <w:spacing w:after="80" w:line="300" w:lineRule="auto"/>
      </w:pPr>
      <w:r>
        <w:rPr>
          <w:rFonts w:ascii="Calibri" w:hAnsi="Calibri" w:cs="Calibri"/>
          <w:color w:val="000000"/>
          <w:sz w:val="22"/>
        </w:rPr>
        <w:t>Git commit hash, package lock hash and random seed</w:t>
      </w:r>
    </w:p>
    <w:p>
      <w:pPr>
        <w:numPr>
          <w:ilvl w:val="0"/>
          <w:numId w:val="10"/>
        </w:numPr>
        <w:spacing w:after="80" w:line="300" w:lineRule="auto"/>
      </w:pPr>
      <w:r>
        <w:rPr>
          <w:rFonts w:ascii="Calibri" w:hAnsi="Calibri" w:cs="Calibri"/>
          <w:color w:val="000000"/>
          <w:sz w:val="22"/>
        </w:rPr>
        <w:t>Training/validation dates and scaler parameters</w:t>
      </w:r>
    </w:p>
    <w:p>
      <w:pPr>
        <w:numPr>
          <w:ilvl w:val="0"/>
          <w:numId w:val="10"/>
        </w:numPr>
        <w:spacing w:after="80" w:line="300" w:lineRule="auto"/>
      </w:pPr>
      <w:r>
        <w:rPr>
          <w:rFonts w:ascii="Calibri" w:hAnsi="Calibri" w:cs="Calibri"/>
          <w:color w:val="000000"/>
          <w:sz w:val="22"/>
        </w:rPr>
        <w:t>Best epoch, hyperparameters, parameter count and elapsed time</w:t>
      </w:r>
    </w:p>
    <w:p>
      <w:pPr>
        <w:numPr>
          <w:ilvl w:val="0"/>
          <w:numId w:val="10"/>
        </w:numPr>
        <w:spacing w:after="80" w:line="300" w:lineRule="auto"/>
      </w:pPr>
      <w:r>
        <w:rPr>
          <w:rFonts w:ascii="Calibri" w:hAnsi="Calibri" w:cs="Calibri"/>
          <w:color w:val="000000"/>
          <w:sz w:val="22"/>
        </w:rPr>
        <w:t>One row per issue date, target date and horizon containing observed and predicted metres</w:t>
      </w:r>
    </w:p>
    <w:p>
      <w:pPr>
        <w:numPr>
          <w:ilvl w:val="0"/>
          <w:numId w:val="10"/>
        </w:numPr>
        <w:spacing w:after="80" w:line="300" w:lineRule="auto"/>
      </w:pPr>
      <w:r>
        <w:rPr>
          <w:rFonts w:ascii="Calibri" w:hAnsi="Calibri" w:cs="Calibri"/>
          <w:color w:val="000000"/>
          <w:sz w:val="22"/>
        </w:rPr>
        <w:t>Per-horizon metrics, high-water metrics and failure flags</w:t>
      </w:r>
    </w:p>
    <w:p>
      <w:pPr>
        <w:numPr>
          <w:ilvl w:val="0"/>
          <w:numId w:val="10"/>
        </w:numPr>
        <w:spacing w:after="80" w:line="300" w:lineRule="auto"/>
      </w:pPr>
      <w:r>
        <w:rPr>
          <w:rFonts w:ascii="Calibri" w:hAnsi="Calibri" w:cs="Calibri"/>
          <w:color w:val="000000"/>
          <w:sz w:val="22"/>
        </w:rPr>
        <w:t>Model checkpoint for declared final models only</w:t>
      </w:r>
    </w:p>
    <w:p>
      <w:pPr>
        <w:pStyle w:val="Heading1"/>
        <w:keepNext/>
        <w:keepLines w:val="0"/>
      </w:pPr>
      <w:r>
        <w:t>8. Planned Tables, Figures and Result Shells</w:t>
      </w:r>
    </w:p>
    <w:p>
      <w:pPr>
        <w:pStyle w:val="Heading2"/>
        <w:keepNext/>
        <w:keepLines w:val="0"/>
      </w:pPr>
      <w:r>
        <w:t>8.1 Figures</w:t>
      </w:r>
    </w:p>
    <w:p>
      <w:pPr>
        <w:numPr>
          <w:ilvl w:val="0"/>
          <w:numId w:val="10"/>
        </w:numPr>
        <w:spacing w:after="80" w:line="300" w:lineRule="auto"/>
      </w:pPr>
      <w:r>
        <w:rPr>
          <w:rFonts w:ascii="Calibri" w:hAnsi="Calibri" w:cs="Calibri"/>
          <w:color w:val="000000"/>
          <w:sz w:val="22"/>
        </w:rPr>
        <w:t>Figure 1. Study area and upstream-to-downstream order of the five gauges.</w:t>
      </w:r>
    </w:p>
    <w:p>
      <w:pPr>
        <w:numPr>
          <w:ilvl w:val="0"/>
          <w:numId w:val="10"/>
        </w:numPr>
        <w:spacing w:after="80" w:line="300" w:lineRule="auto"/>
      </w:pPr>
      <w:r>
        <w:rPr>
          <w:rFonts w:ascii="Calibri" w:hAnsi="Calibri" w:cs="Calibri"/>
          <w:color w:val="000000"/>
          <w:sz w:val="22"/>
        </w:rPr>
        <w:t>Figure 2. Leakage-safe multi-station, multi-horizon forecasting pipeline.</w:t>
      </w:r>
    </w:p>
    <w:p>
      <w:pPr>
        <w:numPr>
          <w:ilvl w:val="0"/>
          <w:numId w:val="10"/>
        </w:numPr>
        <w:spacing w:after="80" w:line="300" w:lineRule="auto"/>
      </w:pPr>
      <w:r>
        <w:rPr>
          <w:rFonts w:ascii="Calibri" w:hAnsi="Calibri" w:cs="Calibri"/>
          <w:color w:val="000000"/>
          <w:sz w:val="22"/>
        </w:rPr>
        <w:t>Figure 3. Training-only cross-correlation and lag profiles between each station and NON.</w:t>
      </w:r>
    </w:p>
    <w:p>
      <w:pPr>
        <w:numPr>
          <w:ilvl w:val="0"/>
          <w:numId w:val="10"/>
        </w:numPr>
        <w:spacing w:after="80" w:line="300" w:lineRule="auto"/>
      </w:pPr>
      <w:r>
        <w:rPr>
          <w:rFonts w:ascii="Calibri" w:hAnsi="Calibri" w:cs="Calibri"/>
          <w:color w:val="000000"/>
          <w:sz w:val="22"/>
        </w:rPr>
        <w:t>Figure 4. Error-versus-horizon curves with 95% confidence bands.</w:t>
      </w:r>
    </w:p>
    <w:p>
      <w:pPr>
        <w:numPr>
          <w:ilvl w:val="0"/>
          <w:numId w:val="10"/>
        </w:numPr>
        <w:spacing w:after="80" w:line="300" w:lineRule="auto"/>
      </w:pPr>
      <w:r>
        <w:rPr>
          <w:rFonts w:ascii="Calibri" w:hAnsi="Calibri" w:cs="Calibri"/>
          <w:color w:val="000000"/>
          <w:sz w:val="22"/>
        </w:rPr>
        <w:t>Figure 5. Station-ablation heatmap of delta-MAE by station and lead time.</w:t>
      </w:r>
    </w:p>
    <w:p>
      <w:pPr>
        <w:numPr>
          <w:ilvl w:val="0"/>
          <w:numId w:val="10"/>
        </w:numPr>
        <w:spacing w:after="80" w:line="300" w:lineRule="auto"/>
      </w:pPr>
      <w:r>
        <w:rPr>
          <w:rFonts w:ascii="Calibri" w:hAnsi="Calibri" w:cs="Calibri"/>
          <w:color w:val="000000"/>
          <w:sz w:val="22"/>
        </w:rPr>
        <w:t>Figure 6. Observed and forecast hydrographs for representative high-water events at days 1, 7 and 14.</w:t>
      </w:r>
    </w:p>
    <w:p>
      <w:pPr>
        <w:numPr>
          <w:ilvl w:val="0"/>
          <w:numId w:val="10"/>
        </w:numPr>
        <w:spacing w:after="80" w:line="300" w:lineRule="auto"/>
      </w:pPr>
      <w:r>
        <w:rPr>
          <w:rFonts w:ascii="Calibri" w:hAnsi="Calibri" w:cs="Calibri"/>
          <w:color w:val="000000"/>
          <w:sz w:val="22"/>
        </w:rPr>
        <w:t>Figure 7. Peak magnitude and timing errors by model and input configuration.</w:t>
      </w:r>
    </w:p>
    <w:p>
      <w:pPr>
        <w:pStyle w:val="Heading2"/>
        <w:keepNext/>
        <w:keepLines w:val="0"/>
      </w:pPr>
      <w:r>
        <w:t>8.2 Main Result Table Shell</w:t>
      </w:r>
    </w:p>
    <w:p>
      <w:pPr>
        <w:pStyle w:val="Caption"/>
        <w:keepNext/>
        <w:keepLines w:val="0"/>
        <w:spacing w:before="80" w:after="80"/>
      </w:pPr>
      <w:r>
        <w:rPr>
          <w:rFonts w:ascii="Calibri" w:hAnsi="Calibri" w:cs="Calibri"/>
          <w:i/>
          <w:color w:val="5A6573"/>
          <w:sz w:val="18"/>
        </w:rPr>
        <w:t>Table shell: values must be reported in original units; bold only the best statistically supported result.</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1800"/>
        <w:gridCol w:w="1100"/>
        <w:gridCol w:w="1100"/>
        <w:gridCol w:w="1100"/>
        <w:gridCol w:w="1100"/>
        <w:gridCol w:w="1200"/>
        <w:gridCol w:w="196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Model / input</w:t>
            </w:r>
          </w:p>
        </w:tc>
        <w:tc>
          <w:tcPr>
            <w:tcW w:type="dxa" w:w="110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Day 1 MAE</w:t>
            </w:r>
          </w:p>
        </w:tc>
        <w:tc>
          <w:tcPr>
            <w:tcW w:type="dxa" w:w="110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Day 3 MAE</w:t>
            </w:r>
          </w:p>
        </w:tc>
        <w:tc>
          <w:tcPr>
            <w:tcW w:type="dxa" w:w="110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Day 5 MAE</w:t>
            </w:r>
          </w:p>
        </w:tc>
        <w:tc>
          <w:tcPr>
            <w:tcW w:type="dxa" w:w="110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Day 7 MAE</w:t>
            </w:r>
          </w:p>
        </w:tc>
        <w:tc>
          <w:tcPr>
            <w:tcW w:type="dxa" w:w="120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Day 14 MAE</w:t>
            </w:r>
          </w:p>
        </w:tc>
        <w:tc>
          <w:tcPr>
            <w:tcW w:type="dxa" w:w="1960"/>
            <w:shd w:fill="E8EEF5"/>
            <w:tcMar>
              <w:top w:w="80" w:type="dxa"/>
              <w:start w:w="120" w:type="dxa"/>
              <w:bottom w:w="80" w:type="dxa"/>
              <w:end w:w="120" w:type="dxa"/>
            </w:tcMar>
            <w:vAlign w:val="center"/>
          </w:tcPr>
          <w:p>
            <w:pPr>
              <w:spacing w:after="0"/>
              <w:jc w:val="center"/>
            </w:pPr>
            <w:r>
              <w:rPr>
                <w:rFonts w:ascii="Calibri" w:hAnsi="Calibri" w:cs="Calibri"/>
                <w:b/>
                <w:color w:val="0B2545"/>
                <w:sz w:val="15"/>
              </w:rPr>
              <w:t>NSE/KGE summary</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Persistence / NON</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Seasonal naive / NON</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Climatology / NON</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Ridge / all</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LSTM / NON</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LSTM / all</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TCN-GRU / all</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Transformer / all</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1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20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c>
          <w:tcPr>
            <w:tcW w:type="dxa" w:w="1960"/>
            <w:tcMar>
              <w:top w:w="80" w:type="dxa"/>
              <w:start w:w="120" w:type="dxa"/>
              <w:bottom w:w="80" w:type="dxa"/>
              <w:end w:w="120" w:type="dxa"/>
            </w:tcMar>
            <w:vAlign w:val="center"/>
          </w:tcPr>
          <w:p>
            <w:pPr>
              <w:spacing w:after="0" w:line="252" w:lineRule="auto"/>
              <w:jc w:val="left"/>
            </w:pPr>
            <w:r>
              <w:rPr>
                <w:rFonts w:ascii="Calibri" w:hAnsi="Calibri" w:cs="Calibri"/>
                <w:color w:val="000000"/>
                <w:sz w:val="15"/>
              </w:rPr>
              <w:t>[ ]</w:t>
            </w:r>
          </w:p>
        </w:tc>
      </w:tr>
    </w:tbl>
    <w:p>
      <w:pPr>
        <w:spacing w:after="20"/>
      </w:pPr>
    </w:p>
    <w:p>
      <w:pPr>
        <w:pStyle w:val="Heading2"/>
        <w:keepNext/>
        <w:keepLines w:val="0"/>
      </w:pPr>
      <w:r>
        <w:t>8.3 Result Narrative Template</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cs="Calibri"/>
                <w:b/>
                <w:color w:val="0B2545"/>
                <w:sz w:val="22"/>
              </w:rPr>
              <w:t xml:space="preserve">Draft pattern: </w:t>
            </w:r>
            <w:r>
              <w:rPr>
                <w:rFonts w:ascii="Calibri" w:hAnsi="Calibri" w:cs="Calibri"/>
                <w:color w:val="263238"/>
                <w:sz w:val="22"/>
              </w:rPr>
              <w:t>Forecast error increased with lead time for all models. At day 14, the [MODEL] using [STATION SET] achieved an MAE of [VALUE] m, representing a [VALUE]% improvement over the NON-only baseline (95% CI [LOWER, UPPER]; adjusted p=[VALUE]). Removing [STATION] produced the largest degradation at [HORIZON], indicating that its observations contained useful information beyond local persistence. During high-water periods, however, [MODEL] [under/over]-predicted peak magnitude by [VALUE] m and shifted peak timing by [VALUE] days. These results indicate that the operationally useful horizon is [HORIZON] under the stated error criterion.</w:t>
            </w:r>
          </w:p>
        </w:tc>
      </w:tr>
    </w:tbl>
    <w:p>
      <w:pPr>
        <w:spacing w:after="20"/>
      </w:pPr>
    </w:p>
    <w:p>
      <w:pPr>
        <w:pStyle w:val="Heading1"/>
        <w:keepNext/>
        <w:keepLines w:val="0"/>
      </w:pPr>
      <w:r>
        <w:t>9. Execution Plan</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00"/>
        <w:gridCol w:w="4400"/>
        <w:gridCol w:w="4060"/>
      </w:tblGrid>
      <w:tr>
        <w:trPr>
          <w:tblHeader w:val="true"/>
        </w:trPr>
        <w:tc>
          <w:tcPr>
            <w:tcW w:type="dxa" w:w="9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Week</w:t>
            </w:r>
          </w:p>
        </w:tc>
        <w:tc>
          <w:tcPr>
            <w:tcW w:type="dxa" w:w="440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Work package</w:t>
            </w:r>
          </w:p>
        </w:tc>
        <w:tc>
          <w:tcPr>
            <w:tcW w:type="dxa" w:w="4060"/>
            <w:shd w:fill="E8EEF5"/>
            <w:tcMar>
              <w:top w:w="80" w:type="dxa"/>
              <w:start w:w="120" w:type="dxa"/>
              <w:bottom w:w="80" w:type="dxa"/>
              <w:end w:w="120" w:type="dxa"/>
            </w:tcMar>
            <w:vAlign w:val="center"/>
          </w:tcPr>
          <w:p>
            <w:pPr>
              <w:spacing w:after="0"/>
              <w:jc w:val="center"/>
            </w:pPr>
            <w:r>
              <w:rPr>
                <w:rFonts w:ascii="Calibri" w:hAnsi="Calibri" w:cs="Calibri"/>
                <w:b/>
                <w:color w:val="0B2545"/>
                <w:sz w:val="17"/>
              </w:rPr>
              <w:t>Exit criterion</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1</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Data audit, station metadata, missingness and split implementation</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E0 tests pass; data manifest frozen</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2</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Reproduce Paper 1 LSTM and implement naive/Ridge baselines</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Day-1 baseline is traceable; no leakage tests fail</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3</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Run strategy and architecture phases E1-E2</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Strategy/model selected on validation only</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4</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Run look-back and station-ablation phases E3-E4</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Locked look-back; complete horizon-by-station matrix</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5</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Rolling-origin, seeds, high-water and statistical analysis E5</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Confidence intervals and primary tests complete</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6</w:t>
            </w:r>
          </w:p>
        </w:tc>
        <w:tc>
          <w:tcPr>
            <w:tcW w:type="dxa" w:w="440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Figures, tables, Results and Discussion drafting</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7"/>
              </w:rPr>
              <w:t>Every RQ has one result and one bounded conclusion</w:t>
            </w:r>
          </w:p>
        </w:tc>
      </w:tr>
    </w:tbl>
    <w:p>
      <w:pPr>
        <w:spacing w:after="20"/>
      </w:pPr>
    </w:p>
    <w:p>
      <w:pPr>
        <w:pStyle w:val="Heading1"/>
        <w:keepNext/>
        <w:keepLines w:val="0"/>
      </w:pPr>
      <w:r>
        <w:t>10. Risks and Mitigations</w:t>
      </w:r>
    </w:p>
    <w:tbl>
      <w:tblPr>
        <w:tblStyle w:val="TableGrid"/>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150"/>
        <w:gridCol w:w="3150"/>
        <w:gridCol w:w="4060"/>
      </w:tblGrid>
      <w:tr>
        <w:trPr>
          <w:tblHeader w:val="true"/>
        </w:trPr>
        <w:tc>
          <w:tcPr>
            <w:tcW w:type="dxa" w:w="215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Risk</w:t>
            </w:r>
          </w:p>
        </w:tc>
        <w:tc>
          <w:tcPr>
            <w:tcW w:type="dxa" w:w="315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Why it matters</w:t>
            </w:r>
          </w:p>
        </w:tc>
        <w:tc>
          <w:tcPr>
            <w:tcW w:type="dxa" w:w="4060"/>
            <w:shd w:fill="E8EEF5"/>
            <w:tcMar>
              <w:top w:w="80" w:type="dxa"/>
              <w:start w:w="120" w:type="dxa"/>
              <w:bottom w:w="80" w:type="dxa"/>
              <w:end w:w="120" w:type="dxa"/>
            </w:tcMar>
            <w:vAlign w:val="center"/>
          </w:tcPr>
          <w:p>
            <w:pPr>
              <w:spacing w:after="0"/>
              <w:jc w:val="center"/>
            </w:pPr>
            <w:r>
              <w:rPr>
                <w:rFonts w:ascii="Calibri" w:hAnsi="Calibri" w:cs="Calibri"/>
                <w:b/>
                <w:color w:val="0B2545"/>
                <w:sz w:val="16"/>
              </w:rPr>
              <w:t>Mitigation</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2025 was already examined</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It is no longer an untouched holdout</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Use rolling-origin as primary robustness evidence; add prospective 2026 holdout if available</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Only water-level predictors</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Long-horizon skill may plateau without rainfall/discharge/dam data</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State the scope; treat meteorological inputs as a future or secondary extension</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Two-sided interpolation</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Future values can leak into operational forecasts</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Use causal imputation/masks or remove affected windows</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Model proliferation</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Too many combinations create selective reporting</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Pre-register staged decisions and primary comparison</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Daily resolution</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Peak timing within a day cannot be resolved</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Interpret timing in days and avoid hourly operational claims</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Gauge datum differences</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Absolute levels across stations may not be directly comparable</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Scale per station; document datums; interpret learned relationships cautiously</w:t>
            </w:r>
          </w:p>
        </w:tc>
      </w:tr>
      <w:tr>
        <w:tc>
          <w:tcPr>
            <w:tcW w:type="dxa" w:w="2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Extreme-event scarcity</w:t>
            </w:r>
          </w:p>
        </w:tc>
        <w:tc>
          <w:tcPr>
            <w:tcW w:type="dxa" w:w="315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Overall metrics can hide failure at peaks</w:t>
            </w:r>
          </w:p>
        </w:tc>
        <w:tc>
          <w:tcPr>
            <w:tcW w:type="dxa" w:w="4060"/>
            <w:tcMar>
              <w:top w:w="80" w:type="dxa"/>
              <w:start w:w="120" w:type="dxa"/>
              <w:bottom w:w="80" w:type="dxa"/>
              <w:end w:w="120" w:type="dxa"/>
            </w:tcMar>
            <w:vAlign w:val="center"/>
          </w:tcPr>
          <w:p>
            <w:pPr>
              <w:spacing w:after="0" w:line="252" w:lineRule="auto"/>
              <w:jc w:val="left"/>
            </w:pPr>
            <w:r>
              <w:rPr>
                <w:rFonts w:ascii="Calibri" w:hAnsi="Calibri" w:cs="Calibri"/>
                <w:color w:val="000000"/>
                <w:sz w:val="16"/>
              </w:rPr>
              <w:t>Define high-water subset and event-based analysis before testing</w:t>
            </w:r>
          </w:p>
        </w:tc>
      </w:tr>
    </w:tbl>
    <w:p>
      <w:pPr>
        <w:spacing w:after="20"/>
      </w:pPr>
    </w:p>
    <w:p>
      <w:pPr>
        <w:pStyle w:val="Heading1"/>
        <w:keepNext/>
        <w:keepLines w:val="0"/>
      </w:pPr>
      <w:r>
        <w:t>11. Key Recent References for Paper 2</w:t>
      </w:r>
    </w:p>
    <w:p>
      <w:pPr>
        <w:spacing w:after="100"/>
        <w:ind w:left="360" w:hanging="360"/>
        <w:jc w:val="left"/>
      </w:pPr>
      <w:r>
        <w:rPr>
          <w:rFonts w:ascii="Calibri" w:hAnsi="Calibri" w:cs="Calibri"/>
          <w:color w:val="000000"/>
          <w:sz w:val="18"/>
        </w:rPr>
        <w:t xml:space="preserve">1. Kashem, A. et al. (2024). Hybrid deep learning models for multi-ahead river water level forecasting. Earth Science Informatics, 17, 3021-3037. </w:t>
      </w:r>
      <w:hyperlink r:id="rId11">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2. Zhang, S. et al. (2025). A novel framework for multi-step water level predicting by spatial-temporal deep learning models based on integrated physical models. Journal of Hydrology, 661, 133683. </w:t>
      </w:r>
      <w:hyperlink r:id="rId12">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3. Modi, M. C. et al. (2026). Deep learning based multi-model ensemble approach for flood forecasting over flood prone rivers of India. Discover Water, 6, 49. </w:t>
      </w:r>
      <w:hyperlink r:id="rId13">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4. Ambika, A. K. et al. (2025). Novel Deep Learning Transformer Model for Short to Sub-Seasonal Streamflow Forecast. Geophysical Research Letters, 52(14), e2025GL116707. </w:t>
      </w:r>
      <w:hyperlink r:id="rId14">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5. He, M. et al. (2025). Multi-step ahead forecasting of daily streamflow based on the transform-based deep learning model under different scenarios. Scientific Reports, 15, 5451. </w:t>
      </w:r>
      <w:hyperlink r:id="rId15">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6. Dayal, A. et al. (2024). Deep learning for multi-horizon water level forecasting in KRS reservoir, India. Results in Engineering, 21, 101828. </w:t>
      </w:r>
      <w:hyperlink r:id="rId16">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7. Granata, F. et al. (2022). Stacked machine learning algorithms and bidirectional LSTM networks for multi-step ahead streamflow forecasting. Journal of Hydrology, 613, 128431. </w:t>
      </w:r>
      <w:hyperlink r:id="rId17">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8. Noor, F. et al. (2022). Water Level Forecasting Using Spatiotemporal Attention-Based Long Short-Term Memory Network. Water, 14(4), 612. </w:t>
      </w:r>
      <w:hyperlink r:id="rId18">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9. Zhang, Y. et al. (2022). The Discharge Forecasting of Multiple Monitoring Station for Humber River by Hybrid LSTM Models. Water, 14(11), 1794. </w:t>
      </w:r>
      <w:hyperlink r:id="rId19">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10. Luo, Y. et al. (2024). Exploring a spatiotemporal hetero graph-based LSTM model for multi-step-ahead flood forecasting. Journal of Hydrology, 633, 130937. </w:t>
      </w:r>
      <w:hyperlink r:id="rId20">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11. Khatun, A. et al. (2024). A novel insight on input variable and time lag selection in daily streamflow forecasting using deep learning models. Environmental Modelling &amp; Software, 179, 106126. </w:t>
      </w:r>
      <w:hyperlink r:id="rId21">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12. Ghobadi, F. and Kang, D. (2022). Multi-Step Ahead Probabilistic Forecasting of Daily Streamflow Using Bayesian Deep Learning. Water, 14(22), 3672. </w:t>
      </w:r>
      <w:hyperlink r:id="rId22">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13. Sharafkhani, F. et al. (2024). Multi-Step Ahead Water Level Forecasting Using Deep Neural Networks. Water, 16(21), 3153. </w:t>
      </w:r>
      <w:hyperlink r:id="rId23">
        <w:r>
          <w:rPr>
            <w:rFonts w:ascii="Calibri" w:hAnsi="Calibri"/>
            <w:color w:val="2E74B5"/>
            <w:u w:val="single"/>
          </w:rPr>
          <w:t>DOI</w:t>
        </w:r>
      </w:hyperlink>
    </w:p>
    <w:p>
      <w:pPr>
        <w:spacing w:after="100"/>
        <w:ind w:left="360" w:hanging="360"/>
        <w:jc w:val="left"/>
      </w:pPr>
      <w:r>
        <w:rPr>
          <w:rFonts w:ascii="Calibri" w:hAnsi="Calibri" w:cs="Calibri"/>
          <w:color w:val="000000"/>
          <w:sz w:val="18"/>
        </w:rPr>
        <w:t xml:space="preserve">14. Asif, M. et al. (2025). Review and Intercomparison of Machine Learning Applications for Short-term Flood Forecasting. Water Resources Management, 39, 1971-1991. </w:t>
      </w:r>
      <w:hyperlink r:id="rId24">
        <w:r>
          <w:rPr>
            <w:rFonts w:ascii="Calibri" w:hAnsi="Calibri"/>
            <w:color w:val="2E74B5"/>
            <w:u w:val="single"/>
          </w:rPr>
          <w:t>DOI</w:t>
        </w:r>
      </w:hyperlink>
    </w:p>
    <w:p>
      <w:pPr>
        <w:pStyle w:val="Heading1"/>
        <w:keepNext/>
        <w:keepLines w:val="0"/>
      </w:pPr>
      <w:r>
        <w:t>12. Pre-Run Freeze Checklist</w:t>
      </w:r>
    </w:p>
    <w:p>
      <w:pPr>
        <w:numPr>
          <w:ilvl w:val="0"/>
          <w:numId w:val="10"/>
        </w:numPr>
        <w:spacing w:after="80" w:line="300" w:lineRule="auto"/>
      </w:pPr>
      <w:r>
        <w:rPr>
          <w:rFonts w:ascii="Calibri" w:hAnsi="Calibri" w:cs="Calibri"/>
          <w:color w:val="000000"/>
          <w:sz w:val="22"/>
        </w:rPr>
        <w:t>[ ] Actual dataset start/end dates and station units verified</w:t>
      </w:r>
    </w:p>
    <w:p>
      <w:pPr>
        <w:numPr>
          <w:ilvl w:val="0"/>
          <w:numId w:val="10"/>
        </w:numPr>
        <w:spacing w:after="80" w:line="300" w:lineRule="auto"/>
      </w:pPr>
      <w:r>
        <w:rPr>
          <w:rFonts w:ascii="Calibri" w:hAnsi="Calibri" w:cs="Calibri"/>
          <w:color w:val="000000"/>
          <w:sz w:val="22"/>
        </w:rPr>
        <w:t>[ ] Operational issue-time cutoff and causal missing-data policy documented</w:t>
      </w:r>
    </w:p>
    <w:p>
      <w:pPr>
        <w:numPr>
          <w:ilvl w:val="0"/>
          <w:numId w:val="10"/>
        </w:numPr>
        <w:spacing w:after="80" w:line="300" w:lineRule="auto"/>
      </w:pPr>
      <w:r>
        <w:rPr>
          <w:rFonts w:ascii="Calibri" w:hAnsi="Calibri" w:cs="Calibri"/>
          <w:color w:val="000000"/>
          <w:sz w:val="22"/>
        </w:rPr>
        <w:t>[ ] Primary horizons, metric and comparison declared</w:t>
      </w:r>
    </w:p>
    <w:p>
      <w:pPr>
        <w:numPr>
          <w:ilvl w:val="0"/>
          <w:numId w:val="10"/>
        </w:numPr>
        <w:spacing w:after="80" w:line="300" w:lineRule="auto"/>
      </w:pPr>
      <w:r>
        <w:rPr>
          <w:rFonts w:ascii="Calibri" w:hAnsi="Calibri" w:cs="Calibri"/>
          <w:color w:val="000000"/>
          <w:sz w:val="22"/>
        </w:rPr>
        <w:t>[ ] Rolling folds and final period encoded and unit-tested</w:t>
      </w:r>
    </w:p>
    <w:p>
      <w:pPr>
        <w:numPr>
          <w:ilvl w:val="0"/>
          <w:numId w:val="10"/>
        </w:numPr>
        <w:spacing w:after="80" w:line="300" w:lineRule="auto"/>
      </w:pPr>
      <w:r>
        <w:rPr>
          <w:rFonts w:ascii="Calibri" w:hAnsi="Calibri" w:cs="Calibri"/>
          <w:color w:val="000000"/>
          <w:sz w:val="22"/>
        </w:rPr>
        <w:t>[ ] E1-E5 configuration files committed</w:t>
      </w:r>
    </w:p>
    <w:p>
      <w:pPr>
        <w:numPr>
          <w:ilvl w:val="0"/>
          <w:numId w:val="10"/>
        </w:numPr>
        <w:spacing w:after="80" w:line="300" w:lineRule="auto"/>
      </w:pPr>
      <w:r>
        <w:rPr>
          <w:rFonts w:ascii="Calibri" w:hAnsi="Calibri" w:cs="Calibri"/>
          <w:color w:val="000000"/>
          <w:sz w:val="22"/>
        </w:rPr>
        <w:t>[ ] Hyperparameter budgets equalised across architectures</w:t>
      </w:r>
    </w:p>
    <w:p>
      <w:pPr>
        <w:numPr>
          <w:ilvl w:val="0"/>
          <w:numId w:val="10"/>
        </w:numPr>
        <w:spacing w:after="80" w:line="300" w:lineRule="auto"/>
      </w:pPr>
      <w:r>
        <w:rPr>
          <w:rFonts w:ascii="Calibri" w:hAnsi="Calibri" w:cs="Calibri"/>
          <w:color w:val="000000"/>
          <w:sz w:val="22"/>
        </w:rPr>
        <w:t>[ ] High-water threshold and event-separation rule frozen</w:t>
      </w:r>
    </w:p>
    <w:p>
      <w:pPr>
        <w:numPr>
          <w:ilvl w:val="0"/>
          <w:numId w:val="10"/>
        </w:numPr>
        <w:spacing w:after="80" w:line="300" w:lineRule="auto"/>
      </w:pPr>
      <w:r>
        <w:rPr>
          <w:rFonts w:ascii="Calibri" w:hAnsi="Calibri" w:cs="Calibri"/>
          <w:color w:val="000000"/>
          <w:sz w:val="22"/>
        </w:rPr>
        <w:t>[ ] Random seeds, package lock and artifact schema fixed</w:t>
      </w:r>
    </w:p>
    <w:p>
      <w:pPr>
        <w:numPr>
          <w:ilvl w:val="0"/>
          <w:numId w:val="10"/>
        </w:numPr>
        <w:spacing w:after="80" w:line="300" w:lineRule="auto"/>
      </w:pPr>
      <w:r>
        <w:rPr>
          <w:rFonts w:ascii="Calibri" w:hAnsi="Calibri" w:cs="Calibri"/>
          <w:color w:val="000000"/>
          <w:sz w:val="22"/>
        </w:rPr>
        <w:t>[ ] No final-period result examined before the freeze tag</w:t>
      </w:r>
    </w:p>
    <w:p>
      <w:pPr>
        <w:numPr>
          <w:ilvl w:val="0"/>
          <w:numId w:val="10"/>
        </w:numPr>
        <w:spacing w:after="80" w:line="300" w:lineRule="auto"/>
      </w:pPr>
      <w:r>
        <w:rPr>
          <w:rFonts w:ascii="Calibri" w:hAnsi="Calibri" w:cs="Calibri"/>
          <w:color w:val="000000"/>
          <w:sz w:val="22"/>
        </w:rPr>
        <w:t>[ ] Every manuscript table and figure mapped to an RQ</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9360"/>
      </w:tblGrid>
      <w:tr>
        <w:tc>
          <w:tcPr>
            <w:tcW w:type="dxa" w:w="9360"/>
            <w:shd w:fill="FFF8E8"/>
            <w:tcMar>
              <w:top w:w="80" w:type="dxa"/>
              <w:start w:w="120" w:type="dxa"/>
              <w:bottom w:w="80" w:type="dxa"/>
              <w:end w:w="120" w:type="dxa"/>
            </w:tcMar>
            <w:vAlign w:val="center"/>
          </w:tcPr>
          <w:p>
            <w:pPr>
              <w:spacing w:after="0"/>
            </w:pPr>
            <w:r>
              <w:rPr>
                <w:rFonts w:ascii="Calibri" w:hAnsi="Calibri" w:cs="Calibri"/>
                <w:b/>
                <w:color w:val="0B2545"/>
                <w:sz w:val="22"/>
              </w:rPr>
              <w:t xml:space="preserve">Final framing: </w:t>
            </w:r>
            <w:r>
              <w:rPr>
                <w:rFonts w:ascii="Calibri" w:hAnsi="Calibri" w:cs="Calibri"/>
                <w:color w:val="263238"/>
                <w:sz w:val="22"/>
              </w:rPr>
              <w:t>Paper 1 answers which model was most promising for one day ahead. Paper 2 should answer how far useful skill extends and which upstream observations make longer-lead forecasting possible.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A6573"/>
        <w:sz w:val="18"/>
      </w:rPr>
      <w:t xml:space="preserve">Research design draft  |  </w:t>
    </w:r>
    <w:r>
      <w:rPr>
        <w:rFonts w:ascii="Calibri" w:hAnsi="Calibri" w:cs="Calibri"/>
        <w:color w:val="5A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s="Calibri"/>
        <w:color w:val="5A6573"/>
        <w:sz w:val="17"/>
      </w:rPr>
      <w:t>Paper 2 Research Protocol  |  Mekong River Water-Level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A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7/s12145-024-01327-1" TargetMode="External"/><Relationship Id="rId12" Type="http://schemas.openxmlformats.org/officeDocument/2006/relationships/hyperlink" Target="https://doi.org/10.1016/j.jhydrol.2025.133683" TargetMode="External"/><Relationship Id="rId13" Type="http://schemas.openxmlformats.org/officeDocument/2006/relationships/hyperlink" Target="https://doi.org/10.1007/s43832-026-00375-6" TargetMode="External"/><Relationship Id="rId14" Type="http://schemas.openxmlformats.org/officeDocument/2006/relationships/hyperlink" Target="https://doi.org/10.1029/2025GL116707" TargetMode="External"/><Relationship Id="rId15" Type="http://schemas.openxmlformats.org/officeDocument/2006/relationships/hyperlink" Target="https://doi.org/10.1038/s41598-025-89837-w" TargetMode="External"/><Relationship Id="rId16" Type="http://schemas.openxmlformats.org/officeDocument/2006/relationships/hyperlink" Target="https://doi.org/10.1016/j.rineng.2024.101828" TargetMode="External"/><Relationship Id="rId17" Type="http://schemas.openxmlformats.org/officeDocument/2006/relationships/hyperlink" Target="https://doi.org/10.1016/j.jhydrol.2022.128431" TargetMode="External"/><Relationship Id="rId18" Type="http://schemas.openxmlformats.org/officeDocument/2006/relationships/hyperlink" Target="https://doi.org/10.3390/w14040612" TargetMode="External"/><Relationship Id="rId19" Type="http://schemas.openxmlformats.org/officeDocument/2006/relationships/hyperlink" Target="https://doi.org/10.3390/w14111794" TargetMode="External"/><Relationship Id="rId20" Type="http://schemas.openxmlformats.org/officeDocument/2006/relationships/hyperlink" Target="https://doi.org/10.1016/j.jhydrol.2024.130937" TargetMode="External"/><Relationship Id="rId21" Type="http://schemas.openxmlformats.org/officeDocument/2006/relationships/hyperlink" Target="https://doi.org/10.1016/j.envsoft.2024.106126" TargetMode="External"/><Relationship Id="rId22" Type="http://schemas.openxmlformats.org/officeDocument/2006/relationships/hyperlink" Target="https://doi.org/10.3390/w14223672" TargetMode="External"/><Relationship Id="rId23" Type="http://schemas.openxmlformats.org/officeDocument/2006/relationships/hyperlink" Target="https://doi.org/10.3390/w16213153" TargetMode="External"/><Relationship Id="rId24" Type="http://schemas.openxmlformats.org/officeDocument/2006/relationships/hyperlink" Target="https://doi.org/10.1007/s11269-025-0409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2 Research Protocol: Multi-Station, Multi-Horizon Water-Level Forecasting at Nong Khai</dc:title>
  <dc:subject>Research paper structure and reproducible experimental design</dc:subject>
  <dc:creator>Tanapattara Wongkhamchan</dc:creator>
  <cp:keywords>Mekong River, Nong Khai, water-level forecasting, multi-horizon, multi-station, deep learning</cp:keywords>
  <dc:description>generated by python-docx</dc:description>
  <cp:lastModifiedBy/>
  <cp:revision>1</cp:revision>
  <dcterms:created xsi:type="dcterms:W3CDTF">2013-12-23T23:15:00Z</dcterms:created>
  <dcterms:modified xsi:type="dcterms:W3CDTF">2013-12-23T23:15:00Z</dcterms:modified>
  <cp:category/>
</cp:coreProperties>
</file>