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Search Observability — Senior Project Proposal</w:t>
      </w:r>
    </w:p>
    <w:p>
      <w:pPr/>
      <w:r>
        <w:t xml:space="preserve">Oct 13, 2026</w:t>
      </w:r>
      <w:r>
        <w:t xml:space="preserve"> · </w:t>
      </w:r>
      <w:r>
        <w:t xml:space="preserve">@Tanasatit</w:t>
      </w:r>
    </w:p>
    <w:p>
      <w:pPr/>
      <w:r>
        <w:t xml:space="preserve">We will build an open, statistically sound tool that measures how often four AI answer engines mention, recommend and cite online retailers of game consoles in Thailand.</w:t>
      </w:r>
    </w:p>
    <w:p>
      <w:pPr>
        <w:pStyle w:val="Heading2"/>
      </w:pPr>
      <w:r>
        <w:t xml:space="preserve">1. Project information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Details</w:t>
            </w:r>
          </w:p>
        </w:tc>
      </w:tr>
      <w:tr>
        <w:tc>
          <w:tcPr>
            <w:tcW w:w="4680" w:type="dxa"/>
          </w:tcPr>
          <w:p>
            <w:pPr/>
            <w:r>
              <w:t xml:space="preserve">Project title (Thai)</w:t>
            </w:r>
          </w:p>
        </w:tc>
        <w:tc>
          <w:tcPr>
            <w:tcW w:w="4680" w:type="dxa"/>
          </w:tcPr>
          <w:p>
            <w:pPr/>
            <w:r>
              <w:t xml:space="preserve">ระบบสังเกตการณ์การมองเห็นร้านค้าบนการค้นหาด้วย AI</w:t>
            </w:r>
          </w:p>
        </w:tc>
      </w:tr>
      <w:tr>
        <w:tc>
          <w:tcPr>
            <w:tcW w:w="4680" w:type="dxa"/>
          </w:tcPr>
          <w:p>
            <w:pPr/>
            <w:r>
              <w:t xml:space="preserve">Project title (English)</w:t>
            </w:r>
          </w:p>
        </w:tc>
        <w:tc>
          <w:tcPr>
            <w:tcW w:w="4680" w:type="dxa"/>
          </w:tcPr>
          <w:p>
            <w:pPr/>
            <w:r>
              <w:t xml:space="preserve">AI Search Observability: Measuring Retailer Visibility in AI Answer Engines</w:t>
            </w:r>
          </w:p>
        </w:tc>
      </w:tr>
      <w:tr>
        <w:tc>
          <w:tcPr>
            <w:tcW w:w="4680" w:type="dxa"/>
          </w:tcPr>
          <w:p>
            <w:pPr/>
            <w:r>
              <w:t xml:space="preserve">Team members (name, student ID)</w:t>
            </w:r>
          </w:p>
        </w:tc>
        <w:tc>
          <w:tcPr>
            <w:tcW w:w="4680" w:type="dxa"/>
          </w:tcPr>
          <w:p>
            <w:pPr/>
            <w:r>
              <w:t xml:space="preserve">Tai (ID: ________), Pure (ID: ________)</w:t>
            </w:r>
          </w:p>
        </w:tc>
      </w:tr>
      <w:tr>
        <w:tc>
          <w:tcPr>
            <w:tcW w:w="4680" w:type="dxa"/>
          </w:tcPr>
          <w:p>
            <w:pPr/>
            <w:r>
              <w:t xml:space="preserve">Advisor</w:t>
            </w:r>
          </w:p>
        </w:tc>
        <w:tc>
          <w:tcPr>
            <w:tcW w:w="4680" w:type="dxa"/>
          </w:tcPr>
          <w:p>
            <w:pPr/>
            <w:r>
              <w:t xml:space="preserve">หัชทัย</w:t>
            </w:r>
          </w:p>
        </w:tc>
      </w:tr>
      <w:tr>
        <w:tc>
          <w:tcPr>
            <w:tcW w:w="4680" w:type="dxa"/>
          </w:tcPr>
          <w:p>
            <w:pPr/>
            <w:r>
              <w:t xml:space="preserve">Co-advisor (if any)</w:t>
            </w:r>
          </w:p>
        </w:tc>
        <w:tc>
          <w:tcPr>
            <w:tcW w:w="4680" w:type="dxa"/>
          </w:tcPr>
          <w:p>
            <w:pPr/>
            <w:r>
              <w:t xml:space="preserve">None</w:t>
            </w:r>
          </w:p>
        </w:tc>
      </w:tr>
      <w:tr>
        <w:tc>
          <w:tcPr>
            <w:tcW w:w="4680" w:type="dxa"/>
          </w:tcPr>
          <w:p>
            <w:pPr/>
            <w:r>
              <w:t xml:space="preserve">Department / program</w:t>
            </w:r>
          </w:p>
        </w:tc>
        <w:tc>
          <w:tcPr>
            <w:tcW w:w="4680" w:type="dxa"/>
          </w:tcPr>
          <w:p>
            <w:pPr/>
            <w:r>
              <w:t xml:space="preserve">Software and Knowledge Engineering</w:t>
            </w:r>
          </w:p>
        </w:tc>
      </w:tr>
      <w:tr>
        <w:tc>
          <w:tcPr>
            <w:tcW w:w="4680" w:type="dxa"/>
          </w:tcPr>
          <w:p>
            <w:pPr/>
            <w:r>
              <w:t xml:space="preserve">Academic year / semester</w:t>
            </w:r>
          </w:p>
        </w:tc>
        <w:tc>
          <w:tcPr>
            <w:tcW w:w="4680" w:type="dxa"/>
          </w:tcPr>
          <w:p>
            <w:pPr/>
            <w:r>
              <w:t xml:space="preserve">2026</w:t>
            </w:r>
          </w:p>
        </w:tc>
      </w:tr>
      <w:tr>
        <w:tc>
          <w:tcPr>
            <w:tcW w:w="4680" w:type="dxa"/>
          </w:tcPr>
          <w:p>
            <w:pPr/>
            <w:r>
              <w:t xml:space="preserve">Project type</w:t>
            </w:r>
          </w:p>
        </w:tc>
        <w:tc>
          <w:tcPr>
            <w:tcW w:w="4680" w:type="dxa"/>
          </w:tcPr>
          <w:p>
            <w:pPr/>
            <w:r>
              <w:t xml:space="preserve">Software system</w:t>
            </w:r>
          </w:p>
        </w:tc>
      </w:tr>
    </w:tbl>
    <w:p>
      <w:pPr>
        <w:pStyle w:val="Heading2"/>
      </w:pPr>
      <w:r>
        <w:t xml:space="preserve">2. Background and problem statement</w:t>
      </w:r>
    </w:p>
    <w:p>
      <w:pPr/>
      <w:r>
        <w:rPr>
          <w:b/>
        </w:rPr>
        <w:t xml:space="preserve">What is the problem?</w:t>
      </w:r>
      <w:r>
        <w:t xml:space="preserve"> Shoppers increasingly ask AI answer engines such as Gemini, ChatGPT, Perplexity and Google AI Mode where to buy a product, and get a short list of shops instead of ten links. A retailer cannot see whether it is on that list, how often, or why a competitor is there instead.</w:t>
      </w:r>
    </w:p>
    <w:p>
      <w:pPr/>
      <w:r>
        <w:rPr>
          <w:b/>
        </w:rPr>
        <w:t xml:space="preserve">Who has it?</w:t>
      </w:r>
      <w:r>
        <w:t xml:space="preserve"> Small Thai online retailers, for example game-console sellers on Shopee and Facebook, who compete with large chains but have no SEO team and no budget for commercial monitoring tools.</w:t>
      </w:r>
    </w:p>
    <w:p>
      <w:pPr/>
      <w:r>
        <w:rPr>
          <w:b/>
        </w:rPr>
        <w:t xml:space="preserve">Why does it matter?</w:t>
      </w:r>
      <w:r>
        <w:t xml:space="preserve"> Generative engines decide which sources reach the user: Aggarwal et al. showed that content changes alone can raise a source's visibility in generative answers by up to 40% [1]. These answers are also unreliable: a Tow Center study found more than 60% of about 1,600 AI-search answers were incorrect, and many citations were broken or fabricated [2]. A single manual check is therefore misleading. In our own pilot (October 2026, 12 Gemini answers), one shop was mentioned in 5 of 5 answers to a Switch 2 query but in only 1 of 5 answers to a PS5 query.</w:t>
      </w:r>
    </w:p>
    <w:p>
      <w:pPr/>
      <w:r>
        <w:rPr>
          <w:b/>
        </w:rPr>
        <w:t xml:space="preserve">Why now / why us?</w:t>
      </w:r>
      <w:r>
        <w:t xml:space="preserve"> All four engines now have free consumer versions, and a working zero-dependency prototype (data collection, entity matching, Wilson confidence intervals, adaptive sampling) already runs end to end. The team has software engineering and statistics coursework and direct access to a small console retailer for a real case study.</w:t>
      </w:r>
    </w:p>
    <w:p>
      <w:pPr/>
      <w:r>
        <w:rPr>
          <w:b/>
        </w:rPr>
        <w:t xml:space="preserve">Problem statement:</w:t>
      </w:r>
      <w:r>
        <w:t xml:space="preserve"> Small online retailers struggle to know how visible they are in AI search answers because those answers are non-deterministic, differ by engine and are not reported by any free tool, which leads to marketing decisions based on one-off anecdotes.</w:t>
      </w:r>
    </w:p>
    <w:p>
      <w:pPr>
        <w:pStyle w:val="Heading2"/>
      </w:pPr>
      <w:r>
        <w:t xml:space="preserve">3. Objectives</w:t>
      </w:r>
    </w:p>
    <w:p>
      <w:pPr>
        <w:pStyle w:val="ListParagraph"/>
        <w:numPr>
          <w:ilvl w:val="0"/>
          <w:numId w:val="2"/>
        </w:numPr>
      </w:pPr>
      <w:r>
        <w:t xml:space="preserve">To develop a browser-automation collector that sends the same product queries to Gemini, ChatGPT, Perplexity and Google AI Mode and stores every answer and citation, with at least 95% of scheduled queries collected successfully.</w:t>
      </w:r>
    </w:p>
    <w:p>
      <w:pPr>
        <w:pStyle w:val="ListParagraph"/>
        <w:numPr>
          <w:ilvl w:val="0"/>
          <w:numId w:val="2"/>
        </w:numPr>
      </w:pPr>
      <w:r>
        <w:t xml:space="preserve">To develop an extractor that detects whether each tracked retailer is mentioned, recommended or cited, reaching an F1 score of at least 0.90 for mentions and 0.80 for recommendations against human labels.</w:t>
      </w:r>
    </w:p>
    <w:p>
      <w:pPr>
        <w:pStyle w:val="ListParagraph"/>
        <w:numPr>
          <w:ilvl w:val="0"/>
          <w:numId w:val="2"/>
        </w:numPr>
      </w:pPr>
      <w:r>
        <w:t xml:space="preserve">To evaluate answer stability and sampling cost: report a 95% Wilson confidence interval for each retailer's mention rate per engine, and show that adaptive sampling needs at least 25% fewer queries than fixed sampling for the same decisions.</w:t>
      </w:r>
    </w:p>
    <w:p>
      <w:pPr>
        <w:pStyle w:val="ListParagraph"/>
        <w:numPr>
          <w:ilvl w:val="0"/>
          <w:numId w:val="2"/>
        </w:numPr>
      </w:pPr>
      <w:r>
        <w:t xml:space="preserve">To compare retailer visibility across the four engines and produce a report that names, for each query, which competitors appear and which pages the engine cites.</w:t>
      </w:r>
    </w:p>
    <w:p>
      <w:pPr>
        <w:pStyle w:val="Heading2"/>
      </w:pPr>
      <w:r>
        <w:t xml:space="preserve">4. Scope and limitations</w:t>
      </w:r>
    </w:p>
    <w:p>
      <w:pPr>
        <w:pStyle w:val="Heading3"/>
      </w:pPr>
      <w:r>
        <w:t xml:space="preserve">In scope</w:t>
      </w:r>
    </w:p>
    <w:p>
      <w:pPr>
        <w:pStyle w:val="ListParagraph"/>
        <w:numPr>
          <w:ilvl w:val="0"/>
          <w:numId w:val="3"/>
        </w:numPr>
      </w:pPr>
      <w:r>
        <w:t xml:space="preserve">Four AI answer engines, through their free web versions: Gemini, ChatGPT, Perplexity and Google AI Mode.</w:t>
      </w:r>
    </w:p>
    <w:p>
      <w:pPr>
        <w:pStyle w:val="ListParagraph"/>
        <w:numPr>
          <w:ilvl w:val="0"/>
          <w:numId w:val="3"/>
        </w:numPr>
      </w:pPr>
      <w:r>
        <w:t xml:space="preserve">One product category: video-game consoles and accessories (PS5, Nintendo Switch 2, controllers, games) sold online in Thailand.</w:t>
      </w:r>
    </w:p>
    <w:p>
      <w:pPr>
        <w:pStyle w:val="ListParagraph"/>
        <w:numPr>
          <w:ilvl w:val="0"/>
          <w:numId w:val="3"/>
        </w:numPr>
      </w:pPr>
      <w:r>
        <w:t xml:space="preserve">About 20 shopping queries in Thai and English, one target retailer and about 10 competitors.</w:t>
      </w:r>
    </w:p>
    <w:p>
      <w:pPr>
        <w:pStyle w:val="ListParagraph"/>
        <w:numPr>
          <w:ilvl w:val="0"/>
          <w:numId w:val="3"/>
        </w:numPr>
      </w:pPr>
      <w:r>
        <w:t xml:space="preserve">Collector, extractor, statistics module, comparison report, and a Gemini API baseline (no web search, free tier).</w:t>
      </w:r>
    </w:p>
    <w:p>
      <w:pPr>
        <w:pStyle w:val="Heading3"/>
      </w:pPr>
      <w:r>
        <w:t xml:space="preserve">Out of scope</w:t>
      </w:r>
    </w:p>
    <w:p>
      <w:pPr>
        <w:pStyle w:val="ListParagraph"/>
        <w:numPr>
          <w:ilvl w:val="0"/>
          <w:numId w:val="4"/>
        </w:numPr>
      </w:pPr>
      <w:r>
        <w:t xml:space="preserve">Improving a retailer's ranking (optimisation); we measure only, so results stay unbiased.</w:t>
      </w:r>
    </w:p>
    <w:p>
      <w:pPr>
        <w:pStyle w:val="ListParagraph"/>
        <w:numPr>
          <w:ilvl w:val="0"/>
          <w:numId w:val="4"/>
        </w:numPr>
      </w:pPr>
      <w:r>
        <w:t xml:space="preserve">Other product categories and other countries; one category keeps the labelling workload feasible in 4 months.</w:t>
      </w:r>
    </w:p>
    <w:p>
      <w:pPr>
        <w:pStyle w:val="ListParagraph"/>
        <w:numPr>
          <w:ilvl w:val="0"/>
          <w:numId w:val="4"/>
        </w:numPr>
      </w:pPr>
      <w:r>
        <w:t xml:space="preserve">Paid API tiers and commercial tools; the project must run at zero cost.</w:t>
      </w:r>
    </w:p>
    <w:p>
      <w:pPr>
        <w:pStyle w:val="ListParagraph"/>
        <w:numPr>
          <w:ilvl w:val="0"/>
          <w:numId w:val="4"/>
        </w:numPr>
      </w:pPr>
      <w:r>
        <w:t xml:space="preserve">Personalised results: all collection uses fresh, logged-out or dedicated test sessions.</w:t>
      </w:r>
    </w:p>
    <w:p>
      <w:pPr>
        <w:pStyle w:val="Heading3"/>
      </w:pPr>
      <w:r>
        <w:t xml:space="preserve">Assumptions and constraints</w:t>
      </w:r>
    </w:p>
    <w:p>
      <w:pPr>
        <w:pStyle w:val="ListParagraph"/>
        <w:numPr>
          <w:ilvl w:val="0"/>
          <w:numId w:val="5"/>
        </w:numPr>
      </w:pPr>
      <w:r>
        <w:t xml:space="preserve">The free web versions stay reachable and do not change their page layout too often during Dec 2026–Mar 2027.</w:t>
      </w:r>
    </w:p>
    <w:p>
      <w:pPr>
        <w:pStyle w:val="ListParagraph"/>
        <w:numPr>
          <w:ilvl w:val="0"/>
          <w:numId w:val="5"/>
        </w:numPr>
      </w:pPr>
      <w:r>
        <w:t xml:space="preserve">Automation runs at low volume (well under normal human use), from one machine, and never bypasses a CAPTCHA or login wall; a blocked session is collected manually instead.</w:t>
      </w:r>
    </w:p>
    <w:p>
      <w:pPr>
        <w:pStyle w:val="ListParagraph"/>
        <w:numPr>
          <w:ilvl w:val="0"/>
          <w:numId w:val="5"/>
        </w:numPr>
      </w:pPr>
      <w:r>
        <w:t xml:space="preserve">Budget: 0 THB; personal laptops only.</w:t>
      </w:r>
    </w:p>
    <w:p>
      <w:pPr>
        <w:pStyle w:val="ListParagraph"/>
        <w:numPr>
          <w:ilvl w:val="0"/>
          <w:numId w:val="5"/>
        </w:numPr>
      </w:pPr>
      <w:r>
        <w:t xml:space="preserve">Each engine's terms of service are reviewed before collection starts; an engine whose terms forbid automation is collected manually.</w:t>
      </w:r>
    </w:p>
    <w:p>
      <w:pPr>
        <w:pStyle w:val="Heading2"/>
      </w:pPr>
      <w:r>
        <w:t xml:space="preserve">5. Related work and existing solutions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Work / product</w:t>
            </w:r>
          </w:p>
        </w:tc>
        <w:tc>
          <w:tcPr>
            <w:tcW w:w="1872" w:type="dxa"/>
            <w:shd w:val="clear" w:color="auto" w:fill="F2F2F2"/>
          </w:tcPr>
          <w:p>
            <w:pPr/>
            <w:r>
              <w:t xml:space="preserve">Year</w:t>
            </w:r>
          </w:p>
        </w:tc>
        <w:tc>
          <w:tcPr>
            <w:tcW w:w="1872" w:type="dxa"/>
            <w:shd w:val="clear" w:color="auto" w:fill="F2F2F2"/>
          </w:tcPr>
          <w:p>
            <w:pPr/>
            <w:r>
              <w:t xml:space="preserve">Approach</w:t>
            </w:r>
          </w:p>
        </w:tc>
        <w:tc>
          <w:tcPr>
            <w:tcW w:w="1872" w:type="dxa"/>
            <w:shd w:val="clear" w:color="auto" w:fill="F2F2F2"/>
          </w:tcPr>
          <w:p>
            <w:pPr/>
            <w:r>
              <w:t xml:space="preserve">Strengths</w:t>
            </w:r>
          </w:p>
        </w:tc>
        <w:tc>
          <w:tcPr>
            <w:tcW w:w="1872" w:type="dxa"/>
            <w:shd w:val="clear" w:color="auto" w:fill="F2F2F2"/>
          </w:tcPr>
          <w:p>
            <w:pPr/>
            <w:r>
              <w:t xml:space="preserve">Limitation (gap you address)</w:t>
            </w:r>
          </w:p>
        </w:tc>
      </w:tr>
      <w:tr>
        <w:tc>
          <w:tcPr>
            <w:tcW w:w="1872" w:type="dxa"/>
          </w:tcPr>
          <w:p>
            <w:pPr/>
            <w:hyperlink r:id="rId3" w:history="1">
              <w:r>
                <w:rPr>
                  <w:rStyle w:val="Hyperlink"/>
                </w:rPr>
                <w:t xml:space="preserve">GEO: Generative Engine Optimization</w:t>
              </w:r>
            </w:hyperlink>
            <w:r>
              <w:t xml:space="preserve">, Aggarwal et al. [1]</w:t>
            </w:r>
          </w:p>
        </w:tc>
        <w:tc>
          <w:tcPr>
            <w:tcW w:w="1872" w:type="dxa"/>
          </w:tcPr>
          <w:p>
            <w:pPr/>
            <w:r>
              <w:t xml:space="preserve">2024</w:t>
            </w:r>
          </w:p>
        </w:tc>
        <w:tc>
          <w:tcPr>
            <w:tcW w:w="1872" w:type="dxa"/>
          </w:tcPr>
          <w:p>
            <w:pPr/>
            <w:r>
              <w:t xml:space="preserve">Benchmark of queries; measures how content edits change a source's visibility in generative answers</w:t>
            </w:r>
          </w:p>
        </w:tc>
        <w:tc>
          <w:tcPr>
            <w:tcW w:w="1872" w:type="dxa"/>
          </w:tcPr>
          <w:p>
            <w:pPr/>
            <w:r>
              <w:t xml:space="preserve">First formal visibility metrics; shows up to 40% gain</w:t>
            </w:r>
          </w:p>
        </w:tc>
        <w:tc>
          <w:tcPr>
            <w:tcW w:w="1872" w:type="dxa"/>
          </w:tcPr>
          <w:p>
            <w:pPr/>
            <w:r>
              <w:t xml:space="preserve">Studies optimisation of content, not monitoring of real engines over time; English web content, not Thai retail</w:t>
            </w:r>
          </w:p>
        </w:tc>
      </w:tr>
      <w:tr>
        <w:tc>
          <w:tcPr>
            <w:tcW w:w="1872" w:type="dxa"/>
          </w:tcPr>
          <w:p>
            <w:pPr/>
            <w:hyperlink r:id="rId4" w:history="1">
              <w:r>
                <w:rPr>
                  <w:rStyle w:val="Hyperlink"/>
                </w:rPr>
                <w:t xml:space="preserve">AI Search Has a Citation Problem</w:t>
              </w:r>
            </w:hyperlink>
            <w:r>
              <w:t xml:space="preserve">, Tow Center [2]</w:t>
            </w:r>
          </w:p>
        </w:tc>
        <w:tc>
          <w:tcPr>
            <w:tcW w:w="1872" w:type="dxa"/>
          </w:tcPr>
          <w:p>
            <w:pPr/>
            <w:r>
              <w:t xml:space="preserve">2025</w:t>
            </w:r>
          </w:p>
        </w:tc>
        <w:tc>
          <w:tcPr>
            <w:tcW w:w="1872" w:type="dxa"/>
          </w:tcPr>
          <w:p>
            <w:pPr/>
            <w:r>
              <w:t xml:space="preserve">Manual test of 8 AI search engines on about 1,600 news queries</w:t>
            </w:r>
          </w:p>
        </w:tc>
        <w:tc>
          <w:tcPr>
            <w:tcW w:w="1872" w:type="dxa"/>
          </w:tcPr>
          <w:p>
            <w:pPr/>
            <w:r>
              <w:t xml:space="preserve">Cross-engine comparison; exposes wrong and fabricated citations</w:t>
            </w:r>
          </w:p>
        </w:tc>
        <w:tc>
          <w:tcPr>
            <w:tcW w:w="1872" w:type="dxa"/>
          </w:tcPr>
          <w:p>
            <w:pPr/>
            <w:r>
              <w:t xml:space="preserve">One-off manual audit of news, no repeat sampling or confidence intervals, not about retailers</w:t>
            </w:r>
          </w:p>
        </w:tc>
      </w:tr>
      <w:tr>
        <w:tc>
          <w:tcPr>
            <w:tcW w:w="1872" w:type="dxa"/>
          </w:tcPr>
          <w:p>
            <w:pPr/>
            <w:hyperlink r:id="rId5" w:history="1">
              <w:r>
                <w:rPr>
                  <w:rStyle w:val="Hyperlink"/>
                </w:rPr>
                <w:t xml:space="preserve">Otterly.AI</w:t>
              </w:r>
            </w:hyperlink>
            <w:r>
              <w:t xml:space="preserve"> [3]</w:t>
            </w:r>
          </w:p>
        </w:tc>
        <w:tc>
          <w:tcPr>
            <w:tcW w:w="1872" w:type="dxa"/>
          </w:tcPr>
          <w:p>
            <w:pPr/>
            <w:r>
              <w:t xml:space="preserve">2026</w:t>
            </w:r>
          </w:p>
        </w:tc>
        <w:tc>
          <w:tcPr>
            <w:tcW w:w="1872" w:type="dxa"/>
          </w:tcPr>
          <w:p>
            <w:pPr/>
            <w:r>
              <w:t xml:space="preserve">Commercial dashboard that tracks brand mentions in ChatGPT, Perplexity, AI Overviews and Copilot</w:t>
            </w:r>
          </w:p>
        </w:tc>
        <w:tc>
          <w:tcPr>
            <w:tcW w:w="1872" w:type="dxa"/>
          </w:tcPr>
          <w:p>
            <w:pPr/>
            <w:r>
              <w:t xml:space="preserve">Daily tracking, easy to use</w:t>
            </w:r>
          </w:p>
        </w:tc>
        <w:tc>
          <w:tcPr>
            <w:tcW w:w="1872" w:type="dxa"/>
          </w:tcPr>
          <w:p>
            <w:pPr/>
            <w:r>
              <w:t xml:space="preserve">Paid (from about 25 USD/month); Gemini and AI Mode cost extra; method and statistics not disclosed</w:t>
            </w:r>
          </w:p>
        </w:tc>
      </w:tr>
      <w:tr>
        <w:tc>
          <w:tcPr>
            <w:tcW w:w="1872" w:type="dxa"/>
          </w:tcPr>
          <w:p>
            <w:pPr/>
            <w:hyperlink r:id="rId6" w:history="1">
              <w:r>
                <w:rPr>
                  <w:rStyle w:val="Hyperlink"/>
                </w:rPr>
                <w:t xml:space="preserve">Profound</w:t>
              </w:r>
            </w:hyperlink>
            <w:r>
              <w:t xml:space="preserve"> [4]</w:t>
            </w:r>
          </w:p>
        </w:tc>
        <w:tc>
          <w:tcPr>
            <w:tcW w:w="1872" w:type="dxa"/>
          </w:tcPr>
          <w:p>
            <w:pPr/>
            <w:r>
              <w:t xml:space="preserve">2026</w:t>
            </w:r>
          </w:p>
        </w:tc>
        <w:tc>
          <w:tcPr>
            <w:tcW w:w="1872" w:type="dxa"/>
          </w:tcPr>
          <w:p>
            <w:pPr/>
            <w:r>
              <w:t xml:space="preserve">Enterprise AI-visibility platform covering ChatGPT, Gemini, Perplexity and others</w:t>
            </w:r>
          </w:p>
        </w:tc>
        <w:tc>
          <w:tcPr>
            <w:tcW w:w="1872" w:type="dxa"/>
          </w:tcPr>
          <w:p>
            <w:pPr/>
            <w:r>
              <w:t xml:space="preserve">Broad engine coverage, shopping insights</w:t>
            </w:r>
          </w:p>
        </w:tc>
        <w:tc>
          <w:tcPr>
            <w:tcW w:w="1872" w:type="dxa"/>
          </w:tcPr>
          <w:p>
            <w:pPr/>
            <w:r>
              <w:t xml:space="preserve">Enterprise pricing not published; closed method; out of reach for small Thai shops</w:t>
            </w:r>
          </w:p>
        </w:tc>
      </w:tr>
    </w:tbl>
    <w:p>
      <w:pPr/>
      <w:r>
        <w:rPr>
          <w:b/>
        </w:rPr>
        <w:t xml:space="preserve">How our project differs:</w:t>
      </w:r>
      <w:r>
        <w:t xml:space="preserve"> We provide a free, open and reproducible method that treats AI answers as random samples, so every visibility number comes with a confidence interval and a stated sample size. We also focus on Thai-language queries and Thai retailers, which none of the above cover.</w:t>
      </w:r>
    </w:p>
    <w:p>
      <w:pPr>
        <w:pStyle w:val="Heading2"/>
      </w:pPr>
      <w:r>
        <w:t xml:space="preserve">6. Proposed approach</w:t>
      </w:r>
    </w:p>
    <w:p>
      <w:pPr/>
      <w:r>
        <w:t xml:space="preserve">Each query is asked repeatedly on each engine, each answer is reduced to per-retailer flags, and the flags are summarised as rates with confidence intervals.</w:t>
      </w:r>
    </w:p>
    <w:p>
      <w:pPr/>
      <w:r>
        <w:drawing>
          <wp:inline distT="0" distB="0" distL="0" distR="0">
            <wp:extent cx="5486400" cy="1787978"/>
            <wp:docPr id="1" name="image1" descr="system architecture · 4 engines plus API baseline, 5 stages"/>
            <a:graphic xmlns:a="http://schemas.openxmlformats.org/drawingml/2006/main">
              <a:graphicData uri="http://schemas.openxmlformats.org/drawingml/2006/picture">
                <pic:pic xmlns:pic="http://schemas.openxmlformats.org/drawingml/2006/picture">
                  <pic:nvPicPr>
                    <pic:cNvPr id="1" name="image1" descr="system architecture · 4 engines plus API baseline, 5 stages"/>
                    <pic:cNvPicPr/>
                  </pic:nvPicPr>
                  <pic:blipFill>
                    <a:blip r:embed="rId7"/>
                    <a:stretch>
                      <a:fillRect/>
                    </a:stretch>
                  </pic:blipFill>
                  <pic:spPr>
                    <a:xfrm>
                      <a:off x="0" y="0"/>
                      <a:ext cx="5486400" cy="1787978"/>
                    </a:xfrm>
                    <a:prstGeom prst="rect">
                      <a:avLst/>
                    </a:prstGeom>
                  </pic:spPr>
                </pic:pic>
              </a:graphicData>
            </a:graphic>
          </wp:inline>
        </w:drawing>
      </w:r>
    </w:p>
    <w:p>
      <w:pPr/>
      <w:r>
        <w:t xml:space="preserve">system architecture · 4 engines plus API baseline, 5 stages</w:t>
      </w:r>
    </w:p>
    <w:p>
      <w:pPr/>
      <w:r>
        <w:t xml:space="preserve">The four web engines and the free API baseline all feed one collector; analysis only reads saved raw answers, so it can be re-run without new queries.</w:t>
      </w:r>
    </w:p>
    <w:p>
      <w:pPr>
        <w:pStyle w:val="ListParagraph"/>
        <w:numPr>
          <w:ilvl w:val="0"/>
          <w:numId w:val="6"/>
        </w:numPr>
      </w:pPr>
      <w:r>
        <w:rPr>
          <w:b/>
        </w:rPr>
        <w:t xml:space="preserve">Requirements / data collection:</w:t>
      </w:r>
      <w:r>
        <w:t xml:space="preserve"> About 20 shopping queries written with the case-study retailer and checked against real customer questions. Each query is asked 5–10 times per engine on different days, giving about 400–800 answers in total. A Gemini API run without web search (free tier, 20 requests per day) serves as a baseline of the model's built-in knowledge.</w:t>
      </w:r>
    </w:p>
    <w:p>
      <w:pPr>
        <w:pStyle w:val="ListParagraph"/>
        <w:numPr>
          <w:ilvl w:val="0"/>
          <w:numId w:val="6"/>
        </w:numPr>
      </w:pPr>
      <w:r>
        <w:rPr>
          <w:b/>
        </w:rPr>
        <w:t xml:space="preserve">Design:</w:t>
      </w:r>
      <w:r>
        <w:t xml:space="preserve"> Four modules: a collector (one adapter per engine plus a rate limiter and request cap), an extractor (Thai/English name normalisation, alias matching, citation-domain matching, recommendation keywords), a statistics module (Wilson intervals, Jaccard stability, required sample size, day-to-day variance) and a report generator. Answers are stored raw, so the extractor can be improved and re-run without new collection.</w:t>
      </w:r>
    </w:p>
    <w:p>
      <w:pPr>
        <w:pStyle w:val="ListParagraph"/>
        <w:numPr>
          <w:ilvl w:val="0"/>
          <w:numId w:val="6"/>
        </w:numPr>
      </w:pPr>
      <w:r>
        <w:rPr>
          <w:b/>
        </w:rPr>
        <w:t xml:space="preserve">Implementation:</w:t>
      </w:r>
      <w:r>
        <w:t xml:space="preserve"> The existing Python prototype already has the extractor, statistics and report for a Gemini API source. We will add Playwright adapters that open each engine's free web page in a fresh session, type the query, wait for the answer to finish and save the text and links. Adaptive sampling stops asking a query once every watched retailer's 95% interval lies fully above or below 50%.</w:t>
      </w:r>
    </w:p>
    <w:p>
      <w:pPr>
        <w:pStyle w:val="ListParagraph"/>
        <w:numPr>
          <w:ilvl w:val="0"/>
          <w:numId w:val="6"/>
        </w:numPr>
      </w:pPr>
      <w:r>
        <w:rPr>
          <w:b/>
        </w:rPr>
        <w:t xml:space="preserve">Testing and evaluation:</w:t>
      </w:r>
      <w:r>
        <w:t xml:space="preserve"> Unit tests on a mock engine with known probabilities; human labelling of 200 answers to measure extractor precision and recall; a fixed-versus-adaptive comparison on the same days and engine (Section 7).</w:t>
      </w:r>
    </w:p>
    <w:p>
      <w:pPr>
        <w:pStyle w:val="Heading3"/>
      </w:pPr>
      <w:r>
        <w:t xml:space="preserve">Tools and technologies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Category</w:t>
            </w:r>
          </w:p>
        </w:tc>
        <w:tc>
          <w:tcPr>
            <w:tcW w:w="3120" w:type="dxa"/>
            <w:shd w:val="clear" w:color="auto" w:fill="F2F2F2"/>
          </w:tcPr>
          <w:p>
            <w:pPr/>
            <w:r>
              <w:t xml:space="preserve">Choice</w:t>
            </w:r>
          </w:p>
        </w:tc>
        <w:tc>
          <w:tcPr>
            <w:tcW w:w="3120" w:type="dxa"/>
            <w:shd w:val="clear" w:color="auto" w:fill="F2F2F2"/>
          </w:tcPr>
          <w:p>
            <w:pPr/>
            <w:r>
              <w:t xml:space="preserve">Reason</w:t>
            </w:r>
          </w:p>
        </w:tc>
      </w:tr>
      <w:tr>
        <w:tc>
          <w:tcPr>
            <w:tcW w:w="3120" w:type="dxa"/>
          </w:tcPr>
          <w:p>
            <w:pPr/>
            <w:r>
              <w:t xml:space="preserve">Language / framework</w:t>
            </w:r>
          </w:p>
        </w:tc>
        <w:tc>
          <w:tcPr>
            <w:tcW w:w="3120" w:type="dxa"/>
          </w:tcPr>
          <w:p>
            <w:pPr/>
            <w:r>
              <w:t xml:space="preserve">Python 3, Playwright for Python</w:t>
            </w:r>
          </w:p>
        </w:tc>
        <w:tc>
          <w:tcPr>
            <w:tcW w:w="3120" w:type="dxa"/>
          </w:tcPr>
          <w:p>
            <w:pPr/>
            <w:r>
              <w:t xml:space="preserve">Prototype is already Python with no dependencies; Playwright drives real browsers reliably and is free</w:t>
            </w:r>
          </w:p>
        </w:tc>
      </w:tr>
      <w:tr>
        <w:tc>
          <w:tcPr>
            <w:tcW w:w="3120" w:type="dxa"/>
          </w:tcPr>
          <w:p>
            <w:pPr/>
            <w:r>
              <w:t xml:space="preserve">Hardware / platform</w:t>
            </w:r>
          </w:p>
        </w:tc>
        <w:tc>
          <w:tcPr>
            <w:tcW w:w="3120" w:type="dxa"/>
          </w:tcPr>
          <w:p>
            <w:pPr/>
            <w:r>
              <w:t xml:space="preserve">Team laptops (macOS)</w:t>
            </w:r>
          </w:p>
        </w:tc>
        <w:tc>
          <w:tcPr>
            <w:tcW w:w="3120" w:type="dxa"/>
          </w:tcPr>
          <w:p>
            <w:pPr/>
            <w:r>
              <w:t xml:space="preserve">Collection volume is small; no server or cloud cost</w:t>
            </w:r>
          </w:p>
        </w:tc>
      </w:tr>
      <w:tr>
        <w:tc>
          <w:tcPr>
            <w:tcW w:w="3120" w:type="dxa"/>
          </w:tcPr>
          <w:p>
            <w:pPr/>
            <w:r>
              <w:t xml:space="preserve">Data / storage</w:t>
            </w:r>
          </w:p>
        </w:tc>
        <w:tc>
          <w:tcPr>
            <w:tcW w:w="3120" w:type="dxa"/>
          </w:tcPr>
          <w:p>
            <w:pPr/>
            <w:r>
              <w:t xml:space="preserve">JSONL files per run, Markdown/HTML reports</w:t>
            </w:r>
          </w:p>
        </w:tc>
        <w:tc>
          <w:tcPr>
            <w:tcW w:w="3120" w:type="dxa"/>
          </w:tcPr>
          <w:p>
            <w:pPr/>
            <w:r>
              <w:t xml:space="preserve">Append-only raw records survive crashes and can be re-analysed; easy to version and inspect</w:t>
            </w:r>
          </w:p>
        </w:tc>
      </w:tr>
      <w:tr>
        <w:tc>
          <w:tcPr>
            <w:tcW w:w="3120" w:type="dxa"/>
          </w:tcPr>
          <w:p>
            <w:pPr/>
            <w:r>
              <w:t xml:space="preserve">Statistics</w:t>
            </w:r>
          </w:p>
        </w:tc>
        <w:tc>
          <w:tcPr>
            <w:tcW w:w="3120" w:type="dxa"/>
          </w:tcPr>
          <w:p>
            <w:pPr/>
            <w:r>
              <w:t xml:space="preserve">Wilson score interval, Jaccard similarity, variance decomposition</w:t>
            </w:r>
          </w:p>
        </w:tc>
        <w:tc>
          <w:tcPr>
            <w:tcW w:w="3120" w:type="dxa"/>
          </w:tcPr>
          <w:p>
            <w:pPr/>
            <w:r>
              <w:t xml:space="preserve">Correct intervals for small samples and rates near 0% or 100%</w:t>
            </w:r>
          </w:p>
        </w:tc>
      </w:tr>
    </w:tbl>
    <w:p>
      <w:pPr>
        <w:pStyle w:val="Heading2"/>
      </w:pPr>
      <w:r>
        <w:t xml:space="preserve">7. Expected outcomes and evaluation</w:t>
      </w:r>
    </w:p>
    <w:p>
      <w:pPr>
        <w:pStyle w:val="Heading3"/>
      </w:pPr>
      <w:r>
        <w:t xml:space="preserve">Deliverables</w:t>
      </w:r>
    </w:p>
    <w:p>
      <w:pPr>
        <w:pStyle w:val="ListParagraph"/>
        <w:numPr>
          <w:ilvl w:val="0"/>
          <w:numId w:val="7"/>
        </w:numPr>
      </w:pPr>
      <w:r>
        <w:t xml:space="preserve">Working tool: collector with four engine adapters, extractor, statistics module and report generator</w:t>
      </w:r>
    </w:p>
    <w:p>
      <w:pPr>
        <w:pStyle w:val="ListParagraph"/>
        <w:numPr>
          <w:ilvl w:val="0"/>
          <w:numId w:val="7"/>
        </w:numPr>
      </w:pPr>
      <w:r>
        <w:t xml:space="preserve">Source code repository with tests and a README</w:t>
      </w:r>
    </w:p>
    <w:p>
      <w:pPr>
        <w:pStyle w:val="ListParagraph"/>
        <w:numPr>
          <w:ilvl w:val="0"/>
          <w:numId w:val="7"/>
        </w:numPr>
      </w:pPr>
      <w:r>
        <w:t xml:space="preserve">Dataset of raw AI answers for the console category (about 400–800 answers)</w:t>
      </w:r>
    </w:p>
    <w:p>
      <w:pPr>
        <w:pStyle w:val="ListParagraph"/>
        <w:numPr>
          <w:ilvl w:val="0"/>
          <w:numId w:val="7"/>
        </w:numPr>
      </w:pPr>
      <w:r>
        <w:t xml:space="preserve">Labelled evaluation set of 200 answers</w:t>
      </w:r>
    </w:p>
    <w:p>
      <w:pPr>
        <w:pStyle w:val="ListParagraph"/>
        <w:numPr>
          <w:ilvl w:val="0"/>
          <w:numId w:val="7"/>
        </w:numPr>
      </w:pPr>
      <w:r>
        <w:t xml:space="preserve">Final report, case-study visibility report for the retailer, and demo video</w:t>
      </w:r>
    </w:p>
    <w:p>
      <w:pPr>
        <w:pStyle w:val="Heading3"/>
      </w:pPr>
      <w:r>
        <w:t xml:space="preserve">Success criteria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Objective</w:t>
            </w:r>
          </w:p>
        </w:tc>
        <w:tc>
          <w:tcPr>
            <w:tcW w:w="2340" w:type="dxa"/>
            <w:shd w:val="clear" w:color="auto" w:fill="F2F2F2"/>
          </w:tcPr>
          <w:p>
            <w:pPr/>
            <w:r>
              <w:t xml:space="preserve">Metric</w:t>
            </w:r>
          </w:p>
        </w:tc>
        <w:tc>
          <w:tcPr>
            <w:tcW w:w="2340" w:type="dxa"/>
            <w:shd w:val="clear" w:color="auto" w:fill="F2F2F2"/>
          </w:tcPr>
          <w:p>
            <w:pPr/>
            <w:r>
              <w:t xml:space="preserve">Target</w:t>
            </w:r>
          </w:p>
        </w:tc>
        <w:tc>
          <w:tcPr>
            <w:tcW w:w="2340" w:type="dxa"/>
            <w:shd w:val="clear" w:color="auto" w:fill="F2F2F2"/>
          </w:tcPr>
          <w:p>
            <w:pPr/>
            <w:r>
              <w:t xml:space="preserve">How measured</w:t>
            </w:r>
          </w:p>
        </w:tc>
      </w:tr>
      <w:tr>
        <w:tc>
          <w:tcPr>
            <w:tcW w:w="2340" w:type="dxa"/>
          </w:tcPr>
          <w:p>
            <w:pPr/>
            <w:r>
              <w:t xml:space="preserve">Obj. 1 Collector</w:t>
            </w:r>
          </w:p>
        </w:tc>
        <w:tc>
          <w:tcPr>
            <w:tcW w:w="2340" w:type="dxa"/>
          </w:tcPr>
          <w:p>
            <w:pPr/>
            <w:r>
              <w:t xml:space="preserve">Successful collection rate</w:t>
            </w:r>
          </w:p>
        </w:tc>
        <w:tc>
          <w:tcPr>
            <w:tcW w:w="2340" w:type="dxa"/>
          </w:tcPr>
          <w:p>
            <w:pPr/>
            <w:r>
              <w:t xml:space="preserve">≥ 95% of scheduled queries</w:t>
            </w:r>
          </w:p>
        </w:tc>
        <w:tc>
          <w:tcPr>
            <w:tcW w:w="2340" w:type="dxa"/>
          </w:tcPr>
          <w:p>
            <w:pPr/>
            <w:r>
              <w:t xml:space="preserve">Run logs: answers saved / queries scheduled</w:t>
            </w:r>
          </w:p>
        </w:tc>
      </w:tr>
      <w:tr>
        <w:tc>
          <w:tcPr>
            <w:tcW w:w="2340" w:type="dxa"/>
          </w:tcPr>
          <w:p>
            <w:pPr/>
            <w:r>
              <w:t xml:space="preserve">Obj. 2 Extractor</w:t>
            </w:r>
          </w:p>
        </w:tc>
        <w:tc>
          <w:tcPr>
            <w:tcW w:w="2340" w:type="dxa"/>
          </w:tcPr>
          <w:p>
            <w:pPr/>
            <w:r>
              <w:t xml:space="preserve">F1 for mention / recommendation</w:t>
            </w:r>
          </w:p>
        </w:tc>
        <w:tc>
          <w:tcPr>
            <w:tcW w:w="2340" w:type="dxa"/>
          </w:tcPr>
          <w:p>
            <w:pPr/>
            <w:r>
              <w:t xml:space="preserve">≥ 0.90 / ≥ 0.80</w:t>
            </w:r>
          </w:p>
        </w:tc>
        <w:tc>
          <w:tcPr>
            <w:tcW w:w="2340" w:type="dxa"/>
          </w:tcPr>
          <w:p>
            <w:pPr/>
            <w:r>
              <w:t xml:space="preserve">200 human-labelled answers (label.py)</w:t>
            </w:r>
          </w:p>
        </w:tc>
      </w:tr>
      <w:tr>
        <w:tc>
          <w:tcPr>
            <w:tcW w:w="2340" w:type="dxa"/>
          </w:tcPr>
          <w:p>
            <w:pPr/>
            <w:r>
              <w:t xml:space="preserve">Obj. 3 Statistics</w:t>
            </w:r>
          </w:p>
        </w:tc>
        <w:tc>
          <w:tcPr>
            <w:tcW w:w="2340" w:type="dxa"/>
          </w:tcPr>
          <w:p>
            <w:pPr/>
            <w:r>
              <w:t xml:space="preserve">Query savings of adaptive vs fixed sampling</w:t>
            </w:r>
          </w:p>
        </w:tc>
        <w:tc>
          <w:tcPr>
            <w:tcW w:w="2340" w:type="dxa"/>
          </w:tcPr>
          <w:p>
            <w:pPr/>
            <w:r>
              <w:t xml:space="preserve">≥ 25% fewer queries, same decision on ≥ 90% of retailer–query pairs</w:t>
            </w:r>
          </w:p>
        </w:tc>
        <w:tc>
          <w:tcPr>
            <w:tcW w:w="2340" w:type="dxa"/>
          </w:tcPr>
          <w:p>
            <w:pPr/>
            <w:r>
              <w:t xml:space="preserve">Fixed and adaptive runs on the same days and engine</w:t>
            </w:r>
          </w:p>
        </w:tc>
      </w:tr>
      <w:tr>
        <w:tc>
          <w:tcPr>
            <w:tcW w:w="2340" w:type="dxa"/>
          </w:tcPr>
          <w:p>
            <w:pPr/>
            <w:r>
              <w:t xml:space="preserve">Obj. 3 Statistics</w:t>
            </w:r>
          </w:p>
        </w:tc>
        <w:tc>
          <w:tcPr>
            <w:tcW w:w="2340" w:type="dxa"/>
          </w:tcPr>
          <w:p>
            <w:pPr/>
            <w:r>
              <w:t xml:space="preserve">Answer stability</w:t>
            </w:r>
          </w:p>
        </w:tc>
        <w:tc>
          <w:tcPr>
            <w:tcW w:w="2340" w:type="dxa"/>
          </w:tcPr>
          <w:p>
            <w:pPr/>
            <w:r>
              <w:t xml:space="preserve">Report Jaccard similarity per engine (no fixed target)</w:t>
            </w:r>
          </w:p>
        </w:tc>
        <w:tc>
          <w:tcPr>
            <w:tcW w:w="2340" w:type="dxa"/>
          </w:tcPr>
          <w:p>
            <w:pPr/>
            <w:r>
              <w:t xml:space="preserve">Repeated answers to the same query</w:t>
            </w:r>
          </w:p>
        </w:tc>
      </w:tr>
      <w:tr>
        <w:tc>
          <w:tcPr>
            <w:tcW w:w="2340" w:type="dxa"/>
          </w:tcPr>
          <w:p>
            <w:pPr/>
            <w:r>
              <w:t xml:space="preserve">Obj. 4 Comparison</w:t>
            </w:r>
          </w:p>
        </w:tc>
        <w:tc>
          <w:tcPr>
            <w:tcW w:w="2340" w:type="dxa"/>
          </w:tcPr>
          <w:p>
            <w:pPr/>
            <w:r>
              <w:t xml:space="preserve">Engines and retailers covered</w:t>
            </w:r>
          </w:p>
        </w:tc>
        <w:tc>
          <w:tcPr>
            <w:tcW w:w="2340" w:type="dxa"/>
          </w:tcPr>
          <w:p>
            <w:pPr/>
            <w:r>
              <w:t xml:space="preserve">4 engines × all tracked retailers with 95% intervals</w:t>
            </w:r>
          </w:p>
        </w:tc>
        <w:tc>
          <w:tcPr>
            <w:tcW w:w="2340" w:type="dxa"/>
          </w:tcPr>
          <w:p>
            <w:pPr/>
            <w:r>
              <w:t xml:space="preserve">Generated report</w:t>
            </w:r>
          </w:p>
        </w:tc>
      </w:tr>
    </w:tbl>
    <w:p>
      <w:pPr/>
      <w:r>
        <w:rPr>
          <w:b/>
        </w:rPr>
        <w:t xml:space="preserve">Benefits:</w:t>
      </w:r>
      <w:r>
        <w:t xml:space="preserve"> Small retailers get a free way to see where they stand in AI search and which pages engines cite. Researchers get an open method and a Thai dataset. The department gets a reusable teaching example of applied statistics on non-deterministic AI systems.</w:t>
      </w:r>
    </w:p>
    <w:p>
      <w:pPr>
        <w:pStyle w:val="Heading2"/>
      </w:pPr>
      <w:r>
        <w:t xml:space="preserve">8. Timeline</w:t>
      </w:r>
    </w:p>
    <w:p>
      <w:pPr/>
      <w:r>
        <w:t xml:space="preserve">The project runs for 4 months, December 2026 to March 2027; collection starts in January so stability can be measured across several weeks.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Task</w:t>
            </w:r>
          </w:p>
        </w:tc>
        <w:tc>
          <w:tcPr>
            <w:tcW w:w="1560" w:type="dxa"/>
            <w:shd w:val="clear" w:color="auto" w:fill="F2F2F2"/>
          </w:tcPr>
          <w:p>
            <w:pPr/>
            <w:r>
              <w:t xml:space="preserve">Dec 2026</w:t>
            </w:r>
          </w:p>
        </w:tc>
        <w:tc>
          <w:tcPr>
            <w:tcW w:w="1560" w:type="dxa"/>
            <w:shd w:val="clear" w:color="auto" w:fill="F2F2F2"/>
          </w:tcPr>
          <w:p>
            <w:pPr/>
            <w:r>
              <w:t xml:space="preserve">Jan 2027</w:t>
            </w:r>
          </w:p>
        </w:tc>
        <w:tc>
          <w:tcPr>
            <w:tcW w:w="1560" w:type="dxa"/>
            <w:shd w:val="clear" w:color="auto" w:fill="F2F2F2"/>
          </w:tcPr>
          <w:p>
            <w:pPr/>
            <w:r>
              <w:t xml:space="preserve">Feb 2027</w:t>
            </w:r>
          </w:p>
        </w:tc>
        <w:tc>
          <w:tcPr>
            <w:tcW w:w="1560" w:type="dxa"/>
            <w:shd w:val="clear" w:color="auto" w:fill="F2F2F2"/>
          </w:tcPr>
          <w:p>
            <w:pPr/>
            <w:r>
              <w:t xml:space="preserve">Mar 2027</w:t>
            </w:r>
          </w:p>
        </w:tc>
        <w:tc>
          <w:tcPr>
            <w:tcW w:w="1560" w:type="dxa"/>
            <w:shd w:val="clear" w:color="auto" w:fill="F2F2F2"/>
          </w:tcPr>
          <w:p>
            <w:pPr/>
            <w:r>
              <w:t xml:space="preserve">Deliverable</w:t>
            </w:r>
          </w:p>
        </w:tc>
      </w:tr>
      <w:tr>
        <w:tc>
          <w:tcPr>
            <w:tcW w:w="1560" w:type="dxa"/>
          </w:tcPr>
          <w:p>
            <w:pPr/>
            <w:r>
              <w:t xml:space="preserve">Literature review, terms-of-service review, query design</w:t>
            </w:r>
          </w:p>
        </w:tc>
        <w:tc>
          <w:tcPr>
            <w:tcW w:w="1560" w:type="dxa"/>
          </w:tcPr>
          <w:p>
            <w:pPr/>
            <w:r>
              <w:t xml:space="preserve">X</w:t>
            </w:r>
          </w:p>
        </w:tc>
        <w:tc>
          <w:tcPr>
            <w:tcW w:w="1560" w:type="dxa"/>
          </w:tcPr>
          <w:p>
            <w:pPr/>
          </w:p>
        </w:tc>
        <w:tc>
          <w:tcPr>
            <w:tcW w:w="1560" w:type="dxa"/>
          </w:tcPr>
          <w:p>
            <w:pPr/>
          </w:p>
        </w:tc>
        <w:tc>
          <w:tcPr>
            <w:tcW w:w="1560" w:type="dxa"/>
          </w:tcPr>
          <w:p>
            <w:pPr/>
          </w:p>
        </w:tc>
        <w:tc>
          <w:tcPr>
            <w:tcW w:w="1560" w:type="dxa"/>
          </w:tcPr>
          <w:p>
            <w:pPr/>
            <w:r>
              <w:t xml:space="preserve">Approved query set</w:t>
            </w:r>
          </w:p>
        </w:tc>
      </w:tr>
      <w:tr>
        <w:tc>
          <w:tcPr>
            <w:tcW w:w="1560" w:type="dxa"/>
          </w:tcPr>
          <w:p>
            <w:pPr/>
            <w:r>
              <w:t xml:space="preserve">Design</w:t>
            </w:r>
          </w:p>
        </w:tc>
        <w:tc>
          <w:tcPr>
            <w:tcW w:w="1560" w:type="dxa"/>
          </w:tcPr>
          <w:p>
            <w:pPr/>
            <w:r>
              <w:t xml:space="preserve">X</w:t>
            </w:r>
          </w:p>
        </w:tc>
        <w:tc>
          <w:tcPr>
            <w:tcW w:w="1560" w:type="dxa"/>
          </w:tcPr>
          <w:p>
            <w:pPr/>
          </w:p>
        </w:tc>
        <w:tc>
          <w:tcPr>
            <w:tcW w:w="1560" w:type="dxa"/>
          </w:tcPr>
          <w:p>
            <w:pPr/>
          </w:p>
        </w:tc>
        <w:tc>
          <w:tcPr>
            <w:tcW w:w="1560" w:type="dxa"/>
          </w:tcPr>
          <w:p>
            <w:pPr/>
          </w:p>
        </w:tc>
        <w:tc>
          <w:tcPr>
            <w:tcW w:w="1560" w:type="dxa"/>
          </w:tcPr>
          <w:p>
            <w:pPr/>
            <w:r>
              <w:t xml:space="preserve">Design document</w:t>
            </w:r>
          </w:p>
        </w:tc>
      </w:tr>
      <w:tr>
        <w:tc>
          <w:tcPr>
            <w:tcW w:w="1560" w:type="dxa"/>
          </w:tcPr>
          <w:p>
            <w:pPr/>
            <w:r>
              <w:t xml:space="preserve">Implementation of engine adapters and extensions</w:t>
            </w:r>
          </w:p>
        </w:tc>
        <w:tc>
          <w:tcPr>
            <w:tcW w:w="1560" w:type="dxa"/>
          </w:tcPr>
          <w:p>
            <w:pPr/>
            <w:r>
              <w:t xml:space="preserve">X</w:t>
            </w:r>
          </w:p>
        </w:tc>
        <w:tc>
          <w:tcPr>
            <w:tcW w:w="1560" w:type="dxa"/>
          </w:tcPr>
          <w:p>
            <w:pPr/>
            <w:r>
              <w:t xml:space="preserve">X</w:t>
            </w:r>
          </w:p>
        </w:tc>
        <w:tc>
          <w:tcPr>
            <w:tcW w:w="1560" w:type="dxa"/>
          </w:tcPr>
          <w:p>
            <w:pPr/>
          </w:p>
        </w:tc>
        <w:tc>
          <w:tcPr>
            <w:tcW w:w="1560" w:type="dxa"/>
          </w:tcPr>
          <w:p>
            <w:pPr/>
          </w:p>
        </w:tc>
        <w:tc>
          <w:tcPr>
            <w:tcW w:w="1560" w:type="dxa"/>
          </w:tcPr>
          <w:p>
            <w:pPr/>
            <w:r>
              <w:t xml:space="preserve">Prototype</w:t>
            </w:r>
          </w:p>
        </w:tc>
      </w:tr>
      <w:tr>
        <w:tc>
          <w:tcPr>
            <w:tcW w:w="1560" w:type="dxa"/>
          </w:tcPr>
          <w:p>
            <w:pPr/>
            <w:r>
              <w:t xml:space="preserve">Data collection (fixed and adaptive runs)</w:t>
            </w:r>
          </w:p>
        </w:tc>
        <w:tc>
          <w:tcPr>
            <w:tcW w:w="1560" w:type="dxa"/>
          </w:tcPr>
          <w:p>
            <w:pPr/>
          </w:p>
        </w:tc>
        <w:tc>
          <w:tcPr>
            <w:tcW w:w="1560" w:type="dxa"/>
          </w:tcPr>
          <w:p>
            <w:pPr/>
            <w:r>
              <w:t xml:space="preserve">X</w:t>
            </w:r>
          </w:p>
        </w:tc>
        <w:tc>
          <w:tcPr>
            <w:tcW w:w="1560" w:type="dxa"/>
          </w:tcPr>
          <w:p>
            <w:pPr/>
            <w:r>
              <w:t xml:space="preserve">X</w:t>
            </w:r>
          </w:p>
        </w:tc>
        <w:tc>
          <w:tcPr>
            <w:tcW w:w="1560" w:type="dxa"/>
          </w:tcPr>
          <w:p>
            <w:pPr/>
          </w:p>
        </w:tc>
        <w:tc>
          <w:tcPr>
            <w:tcW w:w="1560" w:type="dxa"/>
          </w:tcPr>
          <w:p>
            <w:pPr/>
            <w:r>
              <w:t xml:space="preserve">Raw dataset</w:t>
            </w:r>
          </w:p>
        </w:tc>
      </w:tr>
      <w:tr>
        <w:tc>
          <w:tcPr>
            <w:tcW w:w="1560" w:type="dxa"/>
          </w:tcPr>
          <w:p>
            <w:pPr/>
            <w:r>
              <w:t xml:space="preserve">Labelling and evaluation</w:t>
            </w:r>
          </w:p>
        </w:tc>
        <w:tc>
          <w:tcPr>
            <w:tcW w:w="1560" w:type="dxa"/>
          </w:tcPr>
          <w:p>
            <w:pPr/>
          </w:p>
        </w:tc>
        <w:tc>
          <w:tcPr>
            <w:tcW w:w="1560" w:type="dxa"/>
          </w:tcPr>
          <w:p>
            <w:pPr/>
          </w:p>
        </w:tc>
        <w:tc>
          <w:tcPr>
            <w:tcW w:w="1560" w:type="dxa"/>
          </w:tcPr>
          <w:p>
            <w:pPr/>
            <w:r>
              <w:t xml:space="preserve">X</w:t>
            </w:r>
          </w:p>
        </w:tc>
        <w:tc>
          <w:tcPr>
            <w:tcW w:w="1560" w:type="dxa"/>
          </w:tcPr>
          <w:p>
            <w:pPr/>
            <w:r>
              <w:t xml:space="preserve">X</w:t>
            </w:r>
          </w:p>
        </w:tc>
        <w:tc>
          <w:tcPr>
            <w:tcW w:w="1560" w:type="dxa"/>
          </w:tcPr>
          <w:p>
            <w:pPr/>
            <w:r>
              <w:t xml:space="preserve">Test results</w:t>
            </w:r>
          </w:p>
        </w:tc>
      </w:tr>
      <w:tr>
        <w:tc>
          <w:tcPr>
            <w:tcW w:w="1560" w:type="dxa"/>
          </w:tcPr>
          <w:p>
            <w:pPr/>
            <w:r>
              <w:t xml:space="preserve">Report and presentation</w:t>
            </w:r>
          </w:p>
        </w:tc>
        <w:tc>
          <w:tcPr>
            <w:tcW w:w="1560" w:type="dxa"/>
          </w:tcPr>
          <w:p>
            <w:pPr/>
          </w:p>
        </w:tc>
        <w:tc>
          <w:tcPr>
            <w:tcW w:w="1560" w:type="dxa"/>
          </w:tcPr>
          <w:p>
            <w:pPr/>
          </w:p>
        </w:tc>
        <w:tc>
          <w:tcPr>
            <w:tcW w:w="1560" w:type="dxa"/>
          </w:tcPr>
          <w:p>
            <w:pPr/>
          </w:p>
        </w:tc>
        <w:tc>
          <w:tcPr>
            <w:tcW w:w="1560" w:type="dxa"/>
          </w:tcPr>
          <w:p>
            <w:pPr/>
            <w:r>
              <w:t xml:space="preserve">X</w:t>
            </w:r>
          </w:p>
        </w:tc>
        <w:tc>
          <w:tcPr>
            <w:tcW w:w="1560" w:type="dxa"/>
          </w:tcPr>
          <w:p>
            <w:pPr/>
            <w:r>
              <w:t xml:space="preserve">Final report, demo</w:t>
            </w:r>
          </w:p>
        </w:tc>
      </w:tr>
    </w:tbl>
    <w:p>
      <w:pPr>
        <w:pStyle w:val="Heading2"/>
      </w:pPr>
      <w:r>
        <w:t xml:space="preserve">9. Resources, budget, and risks</w:t>
      </w:r>
    </w:p>
    <w:p>
      <w:pPr>
        <w:pStyle w:val="Heading3"/>
      </w:pPr>
      <w:r>
        <w:t xml:space="preserve">Budget estimate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Item</w:t>
            </w:r>
          </w:p>
        </w:tc>
        <w:tc>
          <w:tcPr>
            <w:tcW w:w="1872" w:type="dxa"/>
            <w:shd w:val="clear" w:color="auto" w:fill="F2F2F2"/>
          </w:tcPr>
          <w:p>
            <w:pPr/>
            <w:r>
              <w:t xml:space="preserve">Quantity</w:t>
            </w:r>
          </w:p>
        </w:tc>
        <w:tc>
          <w:tcPr>
            <w:tcW w:w="1872" w:type="dxa"/>
            <w:shd w:val="clear" w:color="auto" w:fill="F2F2F2"/>
          </w:tcPr>
          <w:p>
            <w:pPr/>
            <w:r>
              <w:t xml:space="preserve">Unit cost (THB)</w:t>
            </w:r>
          </w:p>
        </w:tc>
        <w:tc>
          <w:tcPr>
            <w:tcW w:w="1872" w:type="dxa"/>
            <w:shd w:val="clear" w:color="auto" w:fill="F2F2F2"/>
          </w:tcPr>
          <w:p>
            <w:pPr/>
            <w:r>
              <w:t xml:space="preserve">Total (THB)</w:t>
            </w:r>
          </w:p>
        </w:tc>
        <w:tc>
          <w:tcPr>
            <w:tcW w:w="1872" w:type="dxa"/>
            <w:shd w:val="clear" w:color="auto" w:fill="F2F2F2"/>
          </w:tcPr>
          <w:p>
            <w:pPr/>
            <w:r>
              <w:t xml:space="preserve">Funding source</w:t>
            </w:r>
          </w:p>
        </w:tc>
      </w:tr>
      <w:tr>
        <w:tc>
          <w:tcPr>
            <w:tcW w:w="1872" w:type="dxa"/>
          </w:tcPr>
          <w:p>
            <w:pPr/>
            <w:r>
              <w:t xml:space="preserve">Gemini API, free tier (baseline)</w:t>
            </w:r>
          </w:p>
        </w:tc>
        <w:tc>
          <w:tcPr>
            <w:tcW w:w="1872" w:type="dxa"/>
          </w:tcPr>
          <w:p>
            <w:pPr/>
            <w:r>
              <w:t xml:space="preserve">about 300 requests</w:t>
            </w:r>
          </w:p>
        </w:tc>
        <w:tc>
          <w:tcPr>
            <w:tcW w:w="1872" w:type="dxa"/>
          </w:tcPr>
          <w:p>
            <w:pPr/>
            <w:r>
              <w:t xml:space="preserve">0</w:t>
            </w:r>
          </w:p>
        </w:tc>
        <w:tc>
          <w:tcPr>
            <w:tcW w:w="1872" w:type="dxa"/>
          </w:tcPr>
          <w:p>
            <w:pPr/>
            <w:r>
              <w:t xml:space="preserve">0</w:t>
            </w:r>
          </w:p>
        </w:tc>
        <w:tc>
          <w:tcPr>
            <w:tcW w:w="1872" w:type="dxa"/>
          </w:tcPr>
          <w:p>
            <w:pPr/>
            <w:r>
              <w:t xml:space="preserve">Free tier</w:t>
            </w:r>
          </w:p>
        </w:tc>
      </w:tr>
      <w:tr>
        <w:tc>
          <w:tcPr>
            <w:tcW w:w="1872" w:type="dxa"/>
          </w:tcPr>
          <w:p>
            <w:pPr/>
            <w:r>
              <w:t xml:space="preserve">Free accounts on Gemini, ChatGPT, Perplexity, Google</w:t>
            </w:r>
          </w:p>
        </w:tc>
        <w:tc>
          <w:tcPr>
            <w:tcW w:w="1872" w:type="dxa"/>
          </w:tcPr>
          <w:p>
            <w:pPr/>
            <w:r>
              <w:t xml:space="preserve">4</w:t>
            </w:r>
          </w:p>
        </w:tc>
        <w:tc>
          <w:tcPr>
            <w:tcW w:w="1872" w:type="dxa"/>
          </w:tcPr>
          <w:p>
            <w:pPr/>
            <w:r>
              <w:t xml:space="preserve">0</w:t>
            </w:r>
          </w:p>
        </w:tc>
        <w:tc>
          <w:tcPr>
            <w:tcW w:w="1872" w:type="dxa"/>
          </w:tcPr>
          <w:p>
            <w:pPr/>
            <w:r>
              <w:t xml:space="preserve">0</w:t>
            </w:r>
          </w:p>
        </w:tc>
        <w:tc>
          <w:tcPr>
            <w:tcW w:w="1872" w:type="dxa"/>
          </w:tcPr>
          <w:p>
            <w:pPr/>
            <w:r>
              <w:t xml:space="preserve">Free</w:t>
            </w:r>
          </w:p>
        </w:tc>
      </w:tr>
      <w:tr>
        <w:tc>
          <w:tcPr>
            <w:tcW w:w="1872" w:type="dxa"/>
          </w:tcPr>
          <w:p>
            <w:pPr/>
            <w:r>
              <w:t xml:space="preserve">Playwright and Python</w:t>
            </w:r>
          </w:p>
        </w:tc>
        <w:tc>
          <w:tcPr>
            <w:tcW w:w="1872" w:type="dxa"/>
          </w:tcPr>
          <w:p>
            <w:pPr/>
            <w:r>
              <w:t xml:space="preserve">–</w:t>
            </w:r>
          </w:p>
        </w:tc>
        <w:tc>
          <w:tcPr>
            <w:tcW w:w="1872" w:type="dxa"/>
          </w:tcPr>
          <w:p>
            <w:pPr/>
            <w:r>
              <w:t xml:space="preserve">0</w:t>
            </w:r>
          </w:p>
        </w:tc>
        <w:tc>
          <w:tcPr>
            <w:tcW w:w="1872" w:type="dxa"/>
          </w:tcPr>
          <w:p>
            <w:pPr/>
            <w:r>
              <w:t xml:space="preserve">0</w:t>
            </w:r>
          </w:p>
        </w:tc>
        <w:tc>
          <w:tcPr>
            <w:tcW w:w="1872" w:type="dxa"/>
          </w:tcPr>
          <w:p>
            <w:pPr/>
            <w:r>
              <w:t xml:space="preserve">Open source</w:t>
            </w:r>
          </w:p>
        </w:tc>
      </w:tr>
      <w:tr>
        <w:tc>
          <w:tcPr>
            <w:tcW w:w="1872" w:type="dxa"/>
          </w:tcPr>
          <w:p>
            <w:pPr/>
            <w:r>
              <w:t xml:space="preserve">Laptops</w:t>
            </w:r>
          </w:p>
        </w:tc>
        <w:tc>
          <w:tcPr>
            <w:tcW w:w="1872" w:type="dxa"/>
          </w:tcPr>
          <w:p>
            <w:pPr/>
            <w:r>
              <w:t xml:space="preserve">2</w:t>
            </w:r>
          </w:p>
        </w:tc>
        <w:tc>
          <w:tcPr>
            <w:tcW w:w="1872" w:type="dxa"/>
          </w:tcPr>
          <w:p>
            <w:pPr/>
            <w:r>
              <w:t xml:space="preserve">0</w:t>
            </w:r>
          </w:p>
        </w:tc>
        <w:tc>
          <w:tcPr>
            <w:tcW w:w="1872" w:type="dxa"/>
          </w:tcPr>
          <w:p>
            <w:pPr/>
            <w:r>
              <w:t xml:space="preserve">0</w:t>
            </w:r>
          </w:p>
        </w:tc>
        <w:tc>
          <w:tcPr>
            <w:tcW w:w="1872" w:type="dxa"/>
          </w:tcPr>
          <w:p>
            <w:pPr/>
            <w:r>
              <w:t xml:space="preserve">Team's own</w:t>
            </w:r>
          </w:p>
        </w:tc>
      </w:tr>
      <w:tr>
        <w:tc>
          <w:tcPr>
            <w:tcW w:w="1872" w:type="dxa"/>
          </w:tcPr>
          <w:p>
            <w:pPr/>
            <w:r>
              <w:rPr>
                <w:b/>
              </w:rPr>
              <w:t xml:space="preserve">Total</w:t>
            </w:r>
          </w:p>
        </w:tc>
        <w:tc>
          <w:tcPr>
            <w:tcW w:w="1872" w:type="dxa"/>
          </w:tcPr>
          <w:p>
            <w:pPr/>
          </w:p>
        </w:tc>
        <w:tc>
          <w:tcPr>
            <w:tcW w:w="1872" w:type="dxa"/>
          </w:tcPr>
          <w:p>
            <w:pPr/>
          </w:p>
        </w:tc>
        <w:tc>
          <w:tcPr>
            <w:tcW w:w="1872" w:type="dxa"/>
          </w:tcPr>
          <w:p>
            <w:pPr/>
            <w:r>
              <w:rPr>
                <w:b/>
              </w:rPr>
              <w:t xml:space="preserve">0</w:t>
            </w:r>
          </w:p>
        </w:tc>
        <w:tc>
          <w:tcPr>
            <w:tcW w:w="1872" w:type="dxa"/>
          </w:tcPr>
          <w:p>
            <w:pPr/>
          </w:p>
        </w:tc>
      </w:tr>
    </w:tbl>
    <w:p>
      <w:pPr>
        <w:pStyle w:val="Heading3"/>
      </w:pPr>
      <w:r>
        <w:t xml:space="preserve">Risks and fallback plans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Likelihood</w:t>
            </w:r>
          </w:p>
        </w:tc>
        <w:tc>
          <w:tcPr>
            <w:tcW w:w="3120" w:type="dxa"/>
            <w:shd w:val="clear" w:color="auto" w:fill="F2F2F2"/>
          </w:tcPr>
          <w:p>
            <w:pPr/>
            <w:r>
              <w:t xml:space="preserve">Fallback plan</w:t>
            </w:r>
          </w:p>
        </w:tc>
      </w:tr>
      <w:tr>
        <w:tc>
          <w:tcPr>
            <w:tcW w:w="3120" w:type="dxa"/>
          </w:tcPr>
          <w:p>
            <w:pPr/>
            <w:r>
              <w:t xml:space="preserve">An engine blocks automation or shows a CAPTCHA</w:t>
            </w:r>
          </w:p>
        </w:tc>
        <w:tc>
          <w:tcPr>
            <w:tcW w:w="3120" w:type="dxa"/>
          </w:tcPr>
          <w:p>
            <w:pPr/>
            <w:r>
              <w:t xml:space="preserve">High</w:t>
            </w:r>
          </w:p>
        </w:tc>
        <w:tc>
          <w:tcPr>
            <w:tcW w:w="3120" w:type="dxa"/>
          </w:tcPr>
          <w:p>
            <w:pPr/>
            <w:r>
              <w:t xml:space="preserve">Never bypass it; collect that engine manually with the paste tool (fewer repeats, wider intervals reported honestly)</w:t>
            </w:r>
          </w:p>
        </w:tc>
      </w:tr>
      <w:tr>
        <w:tc>
          <w:tcPr>
            <w:tcW w:w="3120" w:type="dxa"/>
          </w:tcPr>
          <w:p>
            <w:pPr/>
            <w:r>
              <w:t xml:space="preserve">An engine's terms of service forbid automated access</w:t>
            </w:r>
          </w:p>
        </w:tc>
        <w:tc>
          <w:tcPr>
            <w:tcW w:w="3120" w:type="dxa"/>
          </w:tcPr>
          <w:p>
            <w:pPr/>
            <w:r>
              <w:t xml:space="preserve">Med</w:t>
            </w:r>
          </w:p>
        </w:tc>
        <w:tc>
          <w:tcPr>
            <w:tcW w:w="3120" w:type="dxa"/>
          </w:tcPr>
          <w:p>
            <w:pPr/>
            <w:r>
              <w:t xml:space="preserve">Collect that engine manually; state this in the report</w:t>
            </w:r>
          </w:p>
        </w:tc>
      </w:tr>
      <w:tr>
        <w:tc>
          <w:tcPr>
            <w:tcW w:w="3120" w:type="dxa"/>
          </w:tcPr>
          <w:p>
            <w:pPr/>
            <w:r>
              <w:t xml:space="preserve">Page layout changes break an adapter</w:t>
            </w:r>
          </w:p>
        </w:tc>
        <w:tc>
          <w:tcPr>
            <w:tcW w:w="3120" w:type="dxa"/>
          </w:tcPr>
          <w:p>
            <w:pPr/>
            <w:r>
              <w:t xml:space="preserve">Med</w:t>
            </w:r>
          </w:p>
        </w:tc>
        <w:tc>
          <w:tcPr>
            <w:tcW w:w="3120" w:type="dxa"/>
          </w:tcPr>
          <w:p>
            <w:pPr/>
            <w:r>
              <w:t xml:space="preserve">Keep adapters small and isolated; raw HTML saved for re-parsing</w:t>
            </w:r>
          </w:p>
        </w:tc>
      </w:tr>
      <w:tr>
        <w:tc>
          <w:tcPr>
            <w:tcW w:w="3120" w:type="dxa"/>
          </w:tcPr>
          <w:p>
            <w:pPr/>
            <w:r>
              <w:t xml:space="preserve">Answers are personalised or vary by location</w:t>
            </w:r>
          </w:p>
        </w:tc>
        <w:tc>
          <w:tcPr>
            <w:tcW w:w="3120" w:type="dxa"/>
          </w:tcPr>
          <w:p>
            <w:pPr/>
            <w:r>
              <w:t xml:space="preserve">Med</w:t>
            </w:r>
          </w:p>
        </w:tc>
        <w:tc>
          <w:tcPr>
            <w:tcW w:w="3120" w:type="dxa"/>
          </w:tcPr>
          <w:p>
            <w:pPr/>
            <w:r>
              <w:t xml:space="preserve">Use fresh logged-out sessions from one location; record session details with each answer</w:t>
            </w:r>
          </w:p>
        </w:tc>
      </w:tr>
      <w:tr>
        <w:tc>
          <w:tcPr>
            <w:tcW w:w="3120" w:type="dxa"/>
          </w:tcPr>
          <w:p>
            <w:pPr/>
            <w:r>
              <w:t xml:space="preserve">Extractor misses Thai name variants</w:t>
            </w:r>
          </w:p>
        </w:tc>
        <w:tc>
          <w:tcPr>
            <w:tcW w:w="3120" w:type="dxa"/>
          </w:tcPr>
          <w:p>
            <w:pPr/>
            <w:r>
              <w:t xml:space="preserve">Med</w:t>
            </w:r>
          </w:p>
        </w:tc>
        <w:tc>
          <w:tcPr>
            <w:tcW w:w="3120" w:type="dxa"/>
          </w:tcPr>
          <w:p>
            <w:pPr/>
            <w:r>
              <w:t xml:space="preserve">Grow the alias list from discovered names; measure with labelling</w:t>
            </w:r>
          </w:p>
        </w:tc>
      </w:tr>
      <w:tr>
        <w:tc>
          <w:tcPr>
            <w:tcW w:w="3120" w:type="dxa"/>
          </w:tcPr>
          <w:p>
            <w:pPr/>
            <w:r>
              <w:t xml:space="preserve">Free API quota too small</w:t>
            </w:r>
          </w:p>
        </w:tc>
        <w:tc>
          <w:tcPr>
            <w:tcW w:w="3120" w:type="dxa"/>
          </w:tcPr>
          <w:p>
            <w:pPr/>
            <w:r>
              <w:t xml:space="preserve">Low</w:t>
            </w:r>
          </w:p>
        </w:tc>
        <w:tc>
          <w:tcPr>
            <w:tcW w:w="3120" w:type="dxa"/>
          </w:tcPr>
          <w:p>
            <w:pPr/>
            <w:r>
              <w:t xml:space="preserve">Spread the baseline over more days; it is not a core objective</w:t>
            </w:r>
          </w:p>
        </w:tc>
      </w:tr>
    </w:tbl>
    <w:p>
      <w:pPr>
        <w:pStyle w:val="Heading2"/>
      </w:pPr>
      <w:r>
        <w:t xml:space="preserve">10. References and approval</w:t>
      </w:r>
    </w:p>
    <w:p>
      <w:pPr>
        <w:pStyle w:val="Heading3"/>
      </w:pPr>
      <w:r>
        <w:t xml:space="preserve">References</w:t>
      </w:r>
    </w:p>
    <w:p>
      <w:pPr/>
      <w:r>
        <w:t xml:space="preserve">[1] P. Aggarwal, V. Murahari, T. Rajpurohit, A. Kalyan, K. Narasimhan, and A. Deshpande, "GEO: Generative engine optimization," in </w:t>
      </w:r>
      <w:r>
        <w:rPr>
          <w:i/>
        </w:rPr>
        <w:t xml:space="preserve">Proc. 30th ACM SIGKDD Conf. Knowledge Discovery and Data Mining (KDD)</w:t>
      </w:r>
      <w:r>
        <w:t xml:space="preserve">, 2024. [Online]. Available: https://arxiv.org/abs/2311.09735</w:t>
      </w:r>
    </w:p>
    <w:p>
      <w:pPr/>
      <w:r>
        <w:t xml:space="preserve">[2] K. Jaźwińska and A. Chandrasekar, "AI search has a citation problem," </w:t>
      </w:r>
      <w:r>
        <w:rPr>
          <w:i/>
        </w:rPr>
        <w:t xml:space="preserve">Columbia Journalism Review</w:t>
      </w:r>
      <w:r>
        <w:t xml:space="preserve">, Tow Center for Digital Journalism, Mar. 6, 2025. [Online]. Available: https://www.cjr.org/tow_center/we-compared-eight-ai-search-engines-theyre-all-bad-at-citing-news.php. Accessed: Oct. 13, 2026.</w:t>
      </w:r>
    </w:p>
    <w:p>
      <w:pPr/>
      <w:r>
        <w:t xml:space="preserve">[3] Otterly.AI, "Pricing," otterly.ai. [Online]. Available: https://otterly.ai/pricing. Accessed: Oct. 13, 2026.</w:t>
      </w:r>
    </w:p>
    <w:p>
      <w:pPr/>
      <w:r>
        <w:t xml:space="preserve">[4] Profound, "Profound," tryprofound.com. [Online]. Available: https://www.tryprofound.com/. Accessed: Oct. 13, 2026.</w:t>
      </w:r>
    </w:p>
    <w:p>
      <w:pPr/>
      <w:r>
        <w:t xml:space="preserve">[5] E. B. Wilson, "Probable inference, the law of succession, and statistical inference," </w:t>
      </w:r>
      <w:r>
        <w:rPr>
          <w:i/>
        </w:rPr>
        <w:t xml:space="preserve">J. Amer. Statist. Assoc.</w:t>
      </w:r>
      <w:r>
        <w:t xml:space="preserve">, vol. 22, no. 158, pp. 209–212, 1927.</w:t>
      </w:r>
    </w:p>
    <w:p>
      <w:pPr>
        <w:pStyle w:val="Heading3"/>
      </w:pPr>
      <w:r>
        <w:t xml:space="preserve">Advisor approval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Role</w:t>
            </w:r>
          </w:p>
        </w:tc>
        <w:tc>
          <w:tcPr>
            <w:tcW w:w="2340" w:type="dxa"/>
            <w:shd w:val="clear" w:color="auto" w:fill="F2F2F2"/>
          </w:tcPr>
          <w:p>
            <w:pPr/>
            <w:r>
              <w:t xml:space="preserve">Name</w:t>
            </w:r>
          </w:p>
        </w:tc>
        <w:tc>
          <w:tcPr>
            <w:tcW w:w="2340" w:type="dxa"/>
            <w:shd w:val="clear" w:color="auto" w:fill="F2F2F2"/>
          </w:tcPr>
          <w:p>
            <w:pPr/>
            <w:r>
              <w:t xml:space="preserve">Signature</w:t>
            </w:r>
          </w:p>
        </w:tc>
        <w:tc>
          <w:tcPr>
            <w:tcW w:w="2340" w:type="dxa"/>
            <w:shd w:val="clear" w:color="auto" w:fill="F2F2F2"/>
          </w:tcPr>
          <w:p>
            <w:pPr/>
            <w:r>
              <w:t xml:space="preserve">Date</w:t>
            </w:r>
          </w:p>
        </w:tc>
      </w:tr>
      <w:tr>
        <w:tc>
          <w:tcPr>
            <w:tcW w:w="2340" w:type="dxa"/>
          </w:tcPr>
          <w:p>
            <w:pPr/>
            <w:r>
              <w:t xml:space="preserve">Advisor</w:t>
            </w:r>
          </w:p>
        </w:tc>
        <w:tc>
          <w:tcPr>
            <w:tcW w:w="2340" w:type="dxa"/>
          </w:tcPr>
          <w:p>
            <w:pPr/>
            <w:r>
              <w:t xml:space="preserve">หัชทัย</w:t>
            </w:r>
          </w:p>
        </w:tc>
        <w:tc>
          <w:tcPr>
            <w:tcW w:w="2340" w:type="dxa"/>
          </w:tcPr>
          <w:p>
            <w:pPr/>
          </w:p>
        </w:tc>
        <w:tc>
          <w:tcPr>
            <w:tcW w:w="2340" w:type="dxa"/>
          </w:tcPr>
          <w:p>
            <w:pPr/>
          </w:p>
        </w:tc>
      </w:tr>
      <w:tr>
        <w:tc>
          <w:tcPr>
            <w:tcW w:w="2340" w:type="dxa"/>
          </w:tcPr>
          <w:p>
            <w:pPr/>
            <w:r>
              <w:t xml:space="preserve">Co-advisor</w:t>
            </w:r>
          </w:p>
        </w:tc>
        <w:tc>
          <w:tcPr>
            <w:tcW w:w="2340" w:type="dxa"/>
          </w:tcPr>
          <w:p>
            <w:pPr/>
            <w:r>
              <w:t xml:space="preserve">–</w:t>
            </w:r>
          </w:p>
        </w:tc>
        <w:tc>
          <w:tcPr>
            <w:tcW w:w="2340" w:type="dxa"/>
          </w:tcPr>
          <w:p>
            <w:pPr/>
          </w:p>
        </w:tc>
        <w:tc>
          <w:tcPr>
            <w:tcW w:w="2340" w:type="dxa"/>
          </w:tcPr>
          <w:p>
            <w:p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rxiv.org/abs/2311.09735" TargetMode="External"/><Relationship Id="rId4" Type="http://schemas.openxmlformats.org/officeDocument/2006/relationships/hyperlink" Target="https://www.cjr.org/tow_center/we-compared-eight-ai-search-engines-theyre-all-bad-at-citing-news.php" TargetMode="External"/><Relationship Id="rId5" Type="http://schemas.openxmlformats.org/officeDocument/2006/relationships/hyperlink" Target="https://otterly.ai/pricing" TargetMode="External"/><Relationship Id="rId6" Type="http://schemas.openxmlformats.org/officeDocument/2006/relationships/hyperlink" Target="https://www.tryprofound.com/" TargetMode="External"/><Relationship Id="rId7"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Search Observability — Senior Project Proposal</dc:title>
  <dc:description>Claude Docs node/15c77251-1192@8 docx-w6</dc:description>
  <cp:revision>8</cp:revision>
</cp:coreProperties>
</file>