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Post-Incident Final Report</w:t>
      </w:r>
    </w:p>
    <w:p>
      <w:pPr>
        <w:pStyle w:val="Heading2"/>
      </w:pPr>
      <w:r>
        <w:t>Incident Summary</w:t>
      </w:r>
    </w:p>
    <w:p>
      <w:r>
        <w:t>Ransomware incident caused system disruption but no confirmed data loss.</w:t>
      </w:r>
    </w:p>
    <w:p>
      <w:pPr>
        <w:pStyle w:val="Heading2"/>
      </w:pPr>
      <w:r>
        <w:t>Root Cause</w:t>
      </w:r>
    </w:p>
    <w:p>
      <w:r>
        <w:t>Infected removable media introduced malware.</w:t>
      </w:r>
    </w:p>
    <w:p>
      <w:pPr>
        <w:pStyle w:val="Heading2"/>
      </w:pPr>
      <w:r>
        <w:t>Impact</w:t>
      </w:r>
    </w:p>
    <w:p>
      <w:r>
        <w:t>Temporary operational downtime.</w:t>
      </w:r>
    </w:p>
    <w:p>
      <w:pPr>
        <w:pStyle w:val="Heading2"/>
      </w:pPr>
      <w:r>
        <w:t>Response Effectiveness</w:t>
      </w:r>
    </w:p>
    <w:p>
      <w:r>
        <w:t>Response aligned with NIST SP 800-61.</w:t>
      </w:r>
    </w:p>
    <w:p>
      <w:pPr>
        <w:pStyle w:val="Heading2"/>
      </w:pPr>
      <w:r>
        <w:t>Lessons Learned</w:t>
      </w:r>
    </w:p>
    <w:p>
      <w:r>
        <w:t>Need stronger endpoint controls.</w:t>
      </w:r>
    </w:p>
    <w:p>
      <w:pPr>
        <w:pStyle w:val="Heading2"/>
      </w:pPr>
      <w:r>
        <w:t>Recommendations</w:t>
      </w:r>
    </w:p>
    <w:p>
      <w:r>
        <w:t>Implement device control and enhanced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