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 w:after="200"/>
        <w:jc w:val="center"/>
      </w:pPr>
      <w:r>
        <w:rPr>
          <w:rFonts w:ascii="Calibri" w:hAnsi="Calibri"/>
          <w:b/>
          <w:color w:val="2E74B5"/>
          <w:sz w:val="26"/>
        </w:rPr>
        <w:t>SPRINT 5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54"/>
        </w:rPr>
        <w:t>BDD como linguagem de cobertura semântica</w:t>
      </w:r>
    </w:p>
    <w:p>
      <w:pPr>
        <w:spacing w:after="640"/>
        <w:jc w:val="center"/>
      </w:pPr>
      <w:r>
        <w:rPr>
          <w:rFonts w:ascii="Calibri" w:hAnsi="Calibri"/>
          <w:i/>
          <w:color w:val="5A5A5A"/>
          <w:sz w:val="28"/>
        </w:rPr>
        <w:t>Classificação de mutantes, cenários Gherkin e validação empírica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Disciplina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Teste de Software</w:t>
            </w:r>
          </w:p>
        </w:tc>
      </w:tr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Professor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Dr. Claudinei de Oliveira</w:t>
            </w:r>
          </w:p>
        </w:tc>
      </w:tr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Projeto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API Flask de Internet Banking</w:t>
            </w:r>
          </w:p>
        </w:tc>
      </w:tr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Ambiente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Ubuntu 22.04 no WSL | Python 3.10.12</w:t>
            </w:r>
          </w:p>
        </w:tc>
      </w:tr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Ferramentas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pytest-bdd 8.1.0 | mutmut 3.6.0</w:t>
            </w:r>
          </w:p>
        </w:tc>
      </w:tr>
    </w:tbl>
    <w:p>
      <w:pPr>
        <w:spacing w:before="720"/>
        <w:jc w:val="center"/>
      </w:pPr>
      <w:r>
        <w:rPr>
          <w:rFonts w:ascii="Calibri" w:hAnsi="Calibri"/>
          <w:color w:val="5A5A5A"/>
          <w:sz w:val="20"/>
        </w:rPr>
        <w:t>Data da execução: 12 de junho de 2026</w:t>
      </w:r>
    </w:p>
    <w:p>
      <w:r>
        <w:br w:type="page"/>
      </w:r>
    </w:p>
    <w:p>
      <w:pPr>
        <w:pStyle w:val="Heading1"/>
      </w:pPr>
      <w:r>
        <w:t>1. Contexto e evidência da execução</w:t>
      </w:r>
    </w:p>
    <w:p>
      <w:r>
        <w:t>O mutation testing foi executado no Ubuntu 22.04 por meio do WSL. A versão 3.6.0 do mutmut identifica os mutantes por nomes completos, como app.x_transferencia__mutmut_24, em vez de usar apenas números.</w:t>
      </w:r>
    </w:p>
    <w:p>
      <w:r>
        <w:t>Foi necessário registrar as rotas Flask com app.add_url_rule, sem alterar endpoints ou regras de negócio, porque o mutmut 3.6 ignora funções decoradas. Também foi configurado also_copy para levar conftest.py e config.py ao diretório mutants, garantindo o reset do SQLite antes de cada teste.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Medição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Mortos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Sobreviventes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Sem testes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Sprint 4: 12 testes Flask client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165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52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Sprint 5: + 2 cenários BDD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182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35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</w:tbl>
    <w:p>
      <w:pPr>
        <w:spacing w:before="160"/>
      </w:pPr>
      <w:r>
        <w:rPr>
          <w:rFonts w:ascii="Calibri" w:hAnsi="Calibri"/>
          <w:b/>
          <w:color w:val="1F4D78"/>
          <w:sz w:val="22"/>
        </w:rPr>
        <w:t xml:space="preserve">Resultado central: </w:t>
      </w:r>
      <w:r>
        <w:rPr>
          <w:rFonts w:ascii="Calibri" w:hAnsi="Calibri"/>
          <w:sz w:val="22"/>
        </w:rPr>
        <w:t>os dois cenários BDD mataram 17 mutantes adicionais e reduziram os sobreviventes de 52 para 35.</w:t>
      </w:r>
    </w:p>
    <w:p>
      <w:pPr>
        <w:pStyle w:val="Heading1"/>
      </w:pPr>
      <w:r>
        <w:t>2. Lista bruta e classificação dos mutantes</w:t>
      </w:r>
    </w:p>
    <w:p>
      <w:r>
        <w:t>A classificação segue o critério de diferença observável. Um mutante equivalente preserva o comportamento para todas as entradas relevantes, enquanto um mutante por insuficiência pode ser distinguido por uma entrada concreta. A análise humana continua necessária, pois a equivalência de programas não é decidível em geral (PAPADAKIS et al., 2019, p. 286).</w:t>
      </w:r>
    </w:p>
    <w:p>
      <w:pPr>
        <w:pStyle w:val="Heading2"/>
      </w:pPr>
      <w:r>
        <w:t>Mutante 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Identificador mutmut 3.6: </w:t>
            </w:r>
            <w:r>
              <w:rPr>
                <w:rFonts w:ascii="Calibri" w:hAnsi="Calibri"/>
                <w:sz w:val="22"/>
              </w:rPr>
              <w:t>app.x_transferencia__mutmut_24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Linha original: </w:t>
            </w:r>
            <w:r>
              <w:rPr>
                <w:rFonts w:ascii="Calibri" w:hAnsi="Calibri"/>
                <w:sz w:val="22"/>
              </w:rPr>
              <w:t>if origem is None or destino is None or valor is None: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Linha mutada: </w:t>
            </w:r>
            <w:r>
              <w:rPr>
                <w:rFonts w:ascii="Calibri" w:hAnsi="Calibri"/>
                <w:sz w:val="22"/>
              </w:rPr>
              <w:t>if origem is None or destino is None and valor is None: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Pergunta 1: </w:t>
            </w:r>
            <w:r>
              <w:rPr>
                <w:rFonts w:ascii="Calibri" w:hAnsi="Calibri"/>
                <w:sz w:val="22"/>
              </w:rPr>
              <w:t>Sim. A precedência lógica enfraquece a validação de campos ausentes.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Pergunta 2: </w:t>
            </w:r>
            <w:r>
              <w:rPr>
                <w:rFonts w:ascii="Calibri" w:hAnsi="Calibri"/>
                <w:sz w:val="22"/>
              </w:rPr>
              <w:t>Enviar {origem: 1, valor: 100.00} sem destino. O original retorna HTTP 400; o mutante prossegue e retorna HTTP 404.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Classificação final: </w:t>
            </w:r>
            <w:r>
              <w:rPr>
                <w:rFonts w:ascii="Calibri" w:hAnsi="Calibri"/>
                <w:sz w:val="22"/>
              </w:rPr>
              <w:t>INSUFICIÊNCIA DA SUÍTE</w:t>
            </w:r>
          </w:p>
        </w:tc>
      </w:tr>
    </w:tbl>
    <w:p>
      <w:pPr>
        <w:spacing w:after="0"/>
      </w:pPr>
    </w:p>
    <w:p>
      <w:pPr>
        <w:pStyle w:val="Heading2"/>
      </w:pPr>
      <w:r>
        <w:t>Mutante 2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Identificador mutmut 3.6: </w:t>
            </w:r>
            <w:r>
              <w:rPr>
                <w:rFonts w:ascii="Calibri" w:hAnsi="Calibri"/>
                <w:sz w:val="22"/>
              </w:rPr>
              <w:t>app.x_transferencia__mutmut_39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Linha original: </w:t>
            </w:r>
            <w:r>
              <w:rPr>
                <w:rFonts w:ascii="Calibri" w:hAnsi="Calibri"/>
                <w:sz w:val="22"/>
              </w:rPr>
              <w:t>if not isinstance(valor, (int, float)) or valor &lt;= 0: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Linha mutada: </w:t>
            </w:r>
            <w:r>
              <w:rPr>
                <w:rFonts w:ascii="Calibri" w:hAnsi="Calibri"/>
                <w:sz w:val="22"/>
              </w:rPr>
              <w:t>if not isinstance(valor, (int, float)) or valor &lt;= 1: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Pergunta 1: </w:t>
            </w:r>
            <w:r>
              <w:rPr>
                <w:rFonts w:ascii="Calibri" w:hAnsi="Calibri"/>
                <w:sz w:val="22"/>
              </w:rPr>
              <w:t>Sim. O mutante passa a recusar valores positivos de até R$ 1,00.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Pergunta 2: </w:t>
            </w:r>
            <w:r>
              <w:rPr>
                <w:rFonts w:ascii="Calibri" w:hAnsi="Calibri"/>
                <w:sz w:val="22"/>
              </w:rPr>
              <w:t>Transferir R$ 0,50 da conta 2 para a conta 1. O original aceita com HTTP 200; o mutante rejeita com HTTP 422.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Classificação final: </w:t>
            </w:r>
            <w:r>
              <w:rPr>
                <w:rFonts w:ascii="Calibri" w:hAnsi="Calibri"/>
                <w:sz w:val="22"/>
              </w:rPr>
              <w:t>INSUFICIÊNCIA DA SUÍTE</w:t>
            </w:r>
          </w:p>
        </w:tc>
      </w:tr>
    </w:tbl>
    <w:p>
      <w:pPr>
        <w:spacing w:after="0"/>
      </w:pPr>
    </w:p>
    <w:p>
      <w:pPr>
        <w:pStyle w:val="Heading2"/>
      </w:pPr>
      <w:r>
        <w:t>Mutante 3 (opcional)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Identificador mutmut 3.6: </w:t>
            </w:r>
            <w:r>
              <w:rPr>
                <w:rFonts w:ascii="Calibri" w:hAnsi="Calibri"/>
                <w:sz w:val="22"/>
              </w:rPr>
              <w:t>app.x_transferencia__mutmut_62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Linha original: </w:t>
            </w:r>
            <w:r>
              <w:rPr>
                <w:rFonts w:ascii="Calibri" w:hAnsi="Calibri"/>
                <w:sz w:val="22"/>
              </w:rPr>
              <w:t>"SELECT * FROM contas WHERE id = ?"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Linha mutada: </w:t>
            </w:r>
            <w:r>
              <w:rPr>
                <w:rFonts w:ascii="Calibri" w:hAnsi="Calibri"/>
                <w:sz w:val="22"/>
              </w:rPr>
              <w:t>"select * from contas where id = ?"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Pergunta 1: </w:t>
            </w:r>
            <w:r>
              <w:rPr>
                <w:rFonts w:ascii="Calibri" w:hAnsi="Calibri"/>
                <w:sz w:val="22"/>
              </w:rPr>
              <w:t>Não. O SQLite não diferencia maiúsculas e minúsculas nas palavras-chave SQL.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Pergunta 2: </w:t>
            </w:r>
            <w:r>
              <w:rPr>
                <w:rFonts w:ascii="Calibri" w:hAnsi="Calibri"/>
                <w:sz w:val="22"/>
              </w:rPr>
              <w:t>Não existe entrada de conta, saldo ou valor que diferencie essas duas consultas.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Classificação final: </w:t>
            </w:r>
            <w:r>
              <w:rPr>
                <w:rFonts w:ascii="Calibri" w:hAnsi="Calibri"/>
                <w:sz w:val="22"/>
              </w:rPr>
              <w:t>EQUIVALENTE</w:t>
            </w:r>
          </w:p>
        </w:tc>
      </w:tr>
    </w:tbl>
    <w:p>
      <w:pPr>
        <w:spacing w:after="0"/>
      </w:pPr>
    </w:p>
    <w:p>
      <w:pPr>
        <w:pStyle w:val="Heading2"/>
      </w:pPr>
      <w:r>
        <w:t>Mutante 4 (opcional)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Identificador mutmut 3.6: </w:t>
            </w:r>
            <w:r>
              <w:rPr>
                <w:rFonts w:ascii="Calibri" w:hAnsi="Calibri"/>
                <w:sz w:val="22"/>
              </w:rPr>
              <w:t>app.x_transferencia__mutmut_63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Linha original: </w:t>
            </w:r>
            <w:r>
              <w:rPr>
                <w:rFonts w:ascii="Calibri" w:hAnsi="Calibri"/>
                <w:sz w:val="22"/>
              </w:rPr>
              <w:t>"SELECT * FROM contas WHERE id = ?"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Linha mutada: </w:t>
            </w:r>
            <w:r>
              <w:rPr>
                <w:rFonts w:ascii="Calibri" w:hAnsi="Calibri"/>
                <w:sz w:val="22"/>
              </w:rPr>
              <w:t>"SELECT * FROM CONTAS WHERE ID = ?"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Pergunta 1: </w:t>
            </w:r>
            <w:r>
              <w:rPr>
                <w:rFonts w:ascii="Calibri" w:hAnsi="Calibri"/>
                <w:sz w:val="22"/>
              </w:rPr>
              <w:t>Não. Nesta configuração do SQLite, tabela e coluna continuam sendo resolvidas.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Pergunta 2: </w:t>
            </w:r>
            <w:r>
              <w:rPr>
                <w:rFonts w:ascii="Calibri" w:hAnsi="Calibri"/>
                <w:sz w:val="22"/>
              </w:rPr>
              <w:t>Não existe entrada diferenciadora para o banco e o esquema utilizados.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Classificação final: </w:t>
            </w:r>
            <w:r>
              <w:rPr>
                <w:rFonts w:ascii="Calibri" w:hAnsi="Calibri"/>
                <w:sz w:val="22"/>
              </w:rPr>
              <w:t>EQUIVALENTE</w:t>
            </w:r>
          </w:p>
        </w:tc>
      </w:tr>
    </w:tbl>
    <w:p>
      <w:pPr>
        <w:spacing w:after="0"/>
      </w:pPr>
    </w:p>
    <w:p>
      <w:pPr>
        <w:pStyle w:val="Heading1"/>
      </w:pPr>
      <w:r>
        <w:t>3. Descrição dos mutantes em termos de negócio</w:t>
      </w:r>
    </w:p>
    <w:p>
      <w:pPr>
        <w:pStyle w:val="Heading2"/>
      </w:pPr>
      <w:r>
        <w:t>Mutante 1 - transferência sem destino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a) Regra de negócio: </w:t>
            </w:r>
            <w:r>
              <w:rPr>
                <w:rFonts w:ascii="Calibri" w:hAnsi="Calibri"/>
                <w:sz w:val="22"/>
              </w:rPr>
              <w:t>Toda transferência deve informar conta de origem, conta de destino e valor.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b) Entrada diferenciadora: </w:t>
            </w:r>
            <w:r>
              <w:rPr>
                <w:rFonts w:ascii="Calibri" w:hAnsi="Calibri"/>
                <w:sz w:val="22"/>
              </w:rPr>
              <w:t>Cliente envia origem 1 e valor R$ 100,00, mas omite a conta de destino.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c) Resposta esperada: </w:t>
            </w:r>
            <w:r>
              <w:rPr>
                <w:rFonts w:ascii="Calibri" w:hAnsi="Calibri"/>
                <w:sz w:val="22"/>
              </w:rPr>
              <w:t>HTTP 400 e JSON {"erro": "Campos obrigatorios ausentes: origem, destino, valor"}. Nenhum saldo deve ser alterado.</w:t>
            </w:r>
          </w:p>
        </w:tc>
      </w:tr>
    </w:tbl>
    <w:p>
      <w:pPr>
        <w:spacing w:after="0"/>
      </w:pPr>
    </w:p>
    <w:p>
      <w:pPr>
        <w:pStyle w:val="Heading2"/>
      </w:pPr>
      <w:r>
        <w:t>Mutante 2 - pequeno valor positivo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a) Regra de negócio: </w:t>
            </w:r>
            <w:r>
              <w:rPr>
                <w:rFonts w:ascii="Calibri" w:hAnsi="Calibri"/>
                <w:sz w:val="22"/>
              </w:rPr>
              <w:t>A transferência deve aceitar qualquer valor estritamente positivo quando houver saldo.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b) Entrada diferenciadora: </w:t>
            </w:r>
            <w:r>
              <w:rPr>
                <w:rFonts w:ascii="Calibri" w:hAnsi="Calibri"/>
                <w:sz w:val="22"/>
              </w:rPr>
              <w:t>Conta 2 transfere R$ 0,50 para a conta 1, tendo saldo de R$ 500,00.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c) Resposta esperada: </w:t>
            </w:r>
            <w:r>
              <w:rPr>
                <w:rFonts w:ascii="Calibri" w:hAnsi="Calibri"/>
                <w:sz w:val="22"/>
              </w:rPr>
              <w:t>HTTP 200 e JSON com mensagem "Transferencia realizada" e valor 0.50. Após a operação, os saldos seriam R$ 499,50 e R$ 1.000,50.</w:t>
            </w:r>
          </w:p>
        </w:tc>
      </w:tr>
    </w:tbl>
    <w:p>
      <w:pPr>
        <w:spacing w:after="0"/>
      </w:pPr>
    </w:p>
    <w:p>
      <w:pPr>
        <w:pStyle w:val="Heading1"/>
      </w:pPr>
      <w:r>
        <w:t>4. Conteúdo de features/transferencia.feature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6"/>
              </w:rPr>
              <w:t># language: pt</w:t>
            </w:r>
            <w:r>
              <w:br/>
            </w:r>
            <w:r>
              <w:rPr>
                <w:rFonts w:ascii="Courier New" w:hAnsi="Courier New"/>
                <w:sz w:val="16"/>
              </w:rPr>
              <w:t>Funcionalidade: Validacao de transferencias bancarias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Como cliente do internet banking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Quero que valores validos sejam transferidos e dados incompletos sejam recusados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Para que minhas operacoes sejam processadas com seguranca e clareza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Contexto: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Dado que a conta 1 possui saldo de 1000.00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 que a conta 2 possui saldo de 500.00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Cenario: Aceitar transferencia de pequeno valor positivo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Quando a conta 2 transfere 0.50 para a conta 1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Entao a transferencia deve ser aceita com status HTTP 200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 a mensagem deve informar "Transferencia realizada"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Cenario: Recusar transferencia sem conta de destino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Quando envio uma transferencia da conta 1 no valor de 100.00 sem informar o destino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Entao a transferencia deve ser recusada com status HTTP 400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 o erro deve informar "Campos obrigatorios ausentes: origem, destino, valor"</w:t>
            </w:r>
          </w:p>
        </w:tc>
      </w:tr>
    </w:tbl>
    <w:p>
      <w:pPr>
        <w:spacing w:after="0"/>
      </w:pPr>
    </w:p>
    <w:p>
      <w:pPr>
        <w:pStyle w:val="Heading1"/>
      </w:pPr>
      <w:r>
        <w:t>5. Revisão crítica do código gerado</w:t>
      </w:r>
    </w:p>
    <w:p>
      <w:pPr>
        <w:pStyle w:val="Heading2"/>
      </w:pPr>
      <w:r>
        <w:t>a) Uso do Flask test client</w:t>
      </w:r>
    </w:p>
    <w:p>
      <w:r>
        <w:t>O código final não usa requests nem depende de servidor externo. Os steps recebem a fixture client, e o conftest.py centraliza from app import app e app.test_client(). Essa centralização respeita a arquitetura construída no Sprint 4 e evita clientes duplicados.</w:t>
      </w:r>
    </w:p>
    <w:p>
      <w:pPr>
        <w:pStyle w:val="Heading2"/>
      </w:pPr>
      <w:r>
        <w:t>b) Reset do banco</w:t>
      </w:r>
    </w:p>
    <w:p>
      <w:r>
        <w:t>O arquivo transferencia_steps.py não redefine a fixture autouse de reset. Redefini-la criaria duas fontes de controle sobre o mesmo banking.db e poderia causar estados divergentes ou bloqueios no SQLite.</w:t>
      </w:r>
    </w:p>
    <w:p>
      <w:pPr>
        <w:pStyle w:val="Heading2"/>
      </w:pPr>
      <w:r>
        <w:t>c) Uso da fixture client</w:t>
      </w:r>
    </w:p>
    <w:p>
      <w:r>
        <w:t>O ajuste manual foi garantir que todos os steps declarassem client como argumento, mantendo o estado da resposta em uma fixture de função chamada estado_cenario. O resultado preserva isolamento e reutiliza a infraestrutura já validada.</w:t>
      </w:r>
    </w:p>
    <w:p>
      <w:r>
        <w:t>A revisão confirma a necessidade de adaptar código automatizado ao contexto real do projeto. COUTINHO e NASCIMENTO (2025) discutem benefícios e desafios da automação; neste trabalho, o benefício só foi obtido depois de revisar dependências, banco, fixtures e modo de execução, em vez de aceitar um padrão genérico sem validação.</w:t>
      </w:r>
    </w:p>
    <w:p>
      <w:pPr>
        <w:pStyle w:val="Heading1"/>
      </w:pPr>
      <w:r>
        <w:t>6. Conteúdo de features/steps/transferencia_steps.py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5"/>
              </w:rPr>
              <w:t>import pytest</w:t>
            </w:r>
            <w:r>
              <w:br/>
            </w:r>
            <w:r>
              <w:rPr>
                <w:rFonts w:ascii="Courier New" w:hAnsi="Courier New"/>
                <w:sz w:val="15"/>
              </w:rPr>
              <w:t>from pytest_bdd import given, parsers, scenarios, then, when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scenarios("../transferencia.feature")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@pytest.fixture</w:t>
            </w:r>
            <w:r>
              <w:br/>
            </w:r>
            <w:r>
              <w:rPr>
                <w:rFonts w:ascii="Courier New" w:hAnsi="Courier New"/>
                <w:sz w:val="15"/>
              </w:rPr>
              <w:t>def estado_cenario():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return {}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@given(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parsers.parse(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  "que a conta {conta_id:d} possui saldo de {saldo:f}"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/>
                <w:sz w:val="15"/>
              </w:rPr>
              <w:t>)</w:t>
            </w:r>
            <w:r>
              <w:br/>
            </w:r>
            <w:r>
              <w:rPr>
                <w:rFonts w:ascii="Courier New" w:hAnsi="Courier New"/>
                <w:sz w:val="15"/>
              </w:rPr>
              <w:t>def verificar_saldo_inicial(client, conta_id, saldo):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resposta = client.get(f"/saldo/{conta_id}")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assert resposta.status_code == 200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assert resposta.get_json()["saldo"] == pytest.approx(saldo)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@when(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parsers.parse(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  "a conta {origem:d} transfere {valor:f} para a conta {destino:d}"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/>
                <w:sz w:val="15"/>
              </w:rPr>
              <w:t>)</w:t>
            </w:r>
            <w:r>
              <w:br/>
            </w:r>
            <w:r>
              <w:rPr>
                <w:rFonts w:ascii="Courier New" w:hAnsi="Courier New"/>
                <w:sz w:val="15"/>
              </w:rPr>
              <w:t>def transferir_valor(client, estado_cenario, origem, destino, valor):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estado_cenario["resposta"] = client.post(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  "/transferencia",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  json={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      "origem": origem,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      "destino": destino,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      "valor": valor,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  },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@when(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parsers.parse(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  "envio uma transferencia da conta {origem:d} no valor de {valor:f} "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  "sem informar o destino"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/>
                <w:sz w:val="15"/>
              </w:rPr>
              <w:t>)</w:t>
            </w:r>
            <w:r>
              <w:br/>
            </w:r>
            <w:r>
              <w:rPr>
                <w:rFonts w:ascii="Courier New" w:hAnsi="Courier New"/>
                <w:sz w:val="15"/>
              </w:rPr>
              <w:t>def transferir_sem_destino(client, estado_cenario, origem, valor):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estado_cenario["resposta"] = client.post(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  "/transferencia",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  json={"origem": origem, "valor": valor},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@then(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parsers.parse(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  "a transferencia deve ser aceita com status HTTP {status:d}"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/>
                <w:sz w:val="15"/>
              </w:rPr>
              <w:t>)</w:t>
            </w:r>
            <w:r>
              <w:br/>
            </w:r>
            <w:r>
              <w:rPr>
                <w:rFonts w:ascii="Courier New" w:hAnsi="Courier New"/>
                <w:sz w:val="15"/>
              </w:rPr>
              <w:t>def verificar_transferencia_aceita(estado_cenario, status):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assert estado_cenario["resposta"].status_code == status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@then(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parsers.parse(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  "a transferencia deve ser recusada com status HTTP {status:d}"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/>
                <w:sz w:val="15"/>
              </w:rPr>
              <w:t>)</w:t>
            </w:r>
            <w:r>
              <w:br/>
            </w:r>
            <w:r>
              <w:rPr>
                <w:rFonts w:ascii="Courier New" w:hAnsi="Courier New"/>
                <w:sz w:val="15"/>
              </w:rPr>
              <w:t>def verificar_transferencia_recusada(estado_cenario, status):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assert estado_cenario["resposta"].status_code == status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@then(parsers.parse('a mensagem deve informar "{mensagem}"'))</w:t>
            </w:r>
            <w:r>
              <w:br/>
            </w:r>
            <w:r>
              <w:rPr>
                <w:rFonts w:ascii="Courier New" w:hAnsi="Courier New"/>
                <w:sz w:val="15"/>
              </w:rPr>
              <w:t>def verificar_mensagem(estado_cenario, mensagem):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assert estado_cenario["resposta"].get_json()["mensagem"] == mensagem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@then(parsers.parse('o erro deve informar "{erro}"'))</w:t>
            </w:r>
            <w:r>
              <w:br/>
            </w:r>
            <w:r>
              <w:rPr>
                <w:rFonts w:ascii="Courier New" w:hAnsi="Courier New"/>
                <w:sz w:val="15"/>
              </w:rPr>
              <w:t>def verificar_erro(estado_cenario, erro):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assert estado_cenario["resposta"].get_json()["erro"] == erro</w:t>
            </w:r>
          </w:p>
        </w:tc>
      </w:tr>
    </w:tbl>
    <w:p>
      <w:pPr>
        <w:spacing w:after="0"/>
      </w:pPr>
    </w:p>
    <w:p>
      <w:pPr>
        <w:pStyle w:val="Heading1"/>
      </w:pPr>
      <w:r>
        <w:t>7. Evidência do pytest-bdd</w:t>
      </w:r>
    </w:p>
    <w:p>
      <w:r>
        <w:t>A imagem abaixo reproduz a saída efetivamente obtida no Ubuntu 22.04. Os dois cenários foram coletados como testes independentes.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525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_features_term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25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Evidência do mutmut após o Sprint 5</w:t>
      </w:r>
    </w:p>
    <w:p>
      <w:r>
        <w:t>A nova medição executou 219 mutantes. O Mutante 1 e o Mutante 2 mudaram de survived para killed. Os mutantes opcionais equivalentes 62 e 63 permaneceram survived.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950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tmut_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502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Mutante 1 após Sprint 5: </w:t>
            </w:r>
            <w:r>
              <w:rPr>
                <w:rFonts w:ascii="Calibri" w:hAnsi="Calibri"/>
                <w:sz w:val="22"/>
              </w:rPr>
              <w:t>app.x_transferencia__mutmut_24 - KILLED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 xml:space="preserve">Mutante 2 após Sprint 5: </w:t>
            </w:r>
            <w:r>
              <w:rPr>
                <w:rFonts w:ascii="Calibri" w:hAnsi="Calibri"/>
                <w:sz w:val="22"/>
              </w:rPr>
              <w:t>app.x_transferencia__mutmut_39 - KILLED</w:t>
            </w:r>
          </w:p>
        </w:tc>
      </w:tr>
    </w:tbl>
    <w:p>
      <w:pPr>
        <w:spacing w:after="0"/>
      </w:pPr>
    </w:p>
    <w:p>
      <w:r>
        <w:t>Análise crítica: o resultado valida a classificação dos dois mutantes como insuficiência da suíte. Os cenários verificaram precisamente as diferenças semânticas: pequeno valor positivo e ausência isolada do destino. Os equivalentes continuaram vivos porque a mudança de capitalização não altera o comando para o SQLite.</w:t>
      </w:r>
    </w:p>
    <w:p>
      <w:pPr>
        <w:pStyle w:val="Heading1"/>
      </w:pPr>
      <w:r>
        <w:t>9. Reflexão final do Sprint 5</w:t>
      </w:r>
    </w:p>
    <w:p>
      <w:pPr>
        <w:pStyle w:val="Heading2"/>
      </w:pPr>
      <w:r>
        <w:t>1. Quantidade e importância da distinção</w:t>
      </w:r>
    </w:p>
    <w:p>
      <w:r>
        <w:t>Classifiquei dois mutantes como EQUIVALENTES e dois como INSUFICIÊNCIA DA SUÍTE. A distinção evita reportar como fraqueza do teste uma alteração que não produz comportamento observável. Para um gerente, isso torna o mutation score mais honesto: sobrevivente não significa automaticamente defeito de cobertura.</w:t>
      </w:r>
    </w:p>
    <w:p>
      <w:pPr>
        <w:pStyle w:val="Heading2"/>
      </w:pPr>
      <w:r>
        <w:t>2. Feature BDD versus teste Python</w:t>
      </w:r>
    </w:p>
    <w:p>
      <w:r>
        <w:t>O arquivo transferencia.feature pode ser compreendido por gerente, auditor e analista de negócio; o test_ia_gerado.py é mais adequado a desenvolvedores e testadores. No internet banking, isso permite que a regra de aceitar R$ 0,50 e recusar dados incompletos seja auditada sem interpretar detalhes de Python.</w:t>
      </w:r>
    </w:p>
    <w:p>
      <w:pPr>
        <w:pStyle w:val="Heading2"/>
      </w:pPr>
      <w:r>
        <w:t>3. Classificação humana e validação empírica</w:t>
      </w:r>
    </w:p>
    <w:p>
      <w:r>
        <w:t>Os dois mutantes de insuficiência foram mortos e os dois equivalentes selecionados permaneceram vivos. O resultado mostra que a análise humana formula a hipótese semântica, mas a execução empírica é necessária para confirmá-la. PAPADAKIS et al. (2019) destacam justamente a dificuldade do problema de equivalência.</w:t>
      </w:r>
    </w:p>
    <w:p>
      <w:pPr>
        <w:pStyle w:val="Heading2"/>
      </w:pPr>
      <w:r>
        <w:t>4. Métrica priorizada</w:t>
      </w:r>
    </w:p>
    <w:p>
      <w:r>
        <w:t>Eu priorizaria o mutation score, porque ele verifica se a suíte percebe uma regra errada, enquanto a cobertura de linhas apenas confirma execução. Ainda assim, seguiria usando cobertura de linhas e cenários BDD como métricas complementares, coerente com o BSTQB (2023), que diferencia critérios de cobertura e sua força.</w:t>
      </w:r>
    </w:p>
    <w:p>
      <w:pPr>
        <w:pStyle w:val="Heading2"/>
      </w:pPr>
      <w:r>
        <w:t>5. BDD substitui ou complementa</w:t>
      </w:r>
    </w:p>
    <w:p>
      <w:r>
        <w:t>BDD complementa os testes anteriores. RAHMAN et al. (2024, p. 55-57) associam testes precoces a detecção antecipada, melhor design e manutenibilidade. Na execução deste projeto, os 12 testes continuaram garantindo regressão técnica, enquanto os dois cenários BDD acrescentaram linguagem de negócio e mataram 17 mutantes que antes sobreviviam.</w:t>
      </w:r>
    </w:p>
    <w:p>
      <w:pPr>
        <w:pStyle w:val="Heading2"/>
      </w:pPr>
      <w:r>
        <w:t>6. Nova regulação do Banco Central</w:t>
      </w:r>
    </w:p>
    <w:p>
      <w:r>
        <w:t>Eu revisaria primeiro o arquivo transferencia.feature, porque ele expressa a regra de negócio em linguagem auditável; em seguida ajustaria os steps e a implementação para manter cenário, teste e código alinhados.</w:t>
      </w:r>
    </w:p>
    <w:p>
      <w:pPr>
        <w:pStyle w:val="Heading1"/>
      </w:pPr>
      <w:r>
        <w:t>Referências</w:t>
      </w:r>
    </w:p>
    <w:p>
      <w:pPr>
        <w:ind w:left="432" w:hanging="432"/>
      </w:pPr>
      <w:r>
        <w:t>BSTQB - BRAZILIAN SOFTWARE TESTING QUALIFICATIONS BOARD. Certified Tester Foundation Level Syllabus: versão 4.0. 2023. Disponível em: https://www.bstqb.online/files/syllabus_ctfl_4.0br.pdf.</w:t>
      </w:r>
    </w:p>
    <w:p>
      <w:pPr>
        <w:ind w:left="432" w:hanging="432"/>
      </w:pPr>
      <w:r>
        <w:t>COUTINHO, N. de M.; NASCIMENTO, E. L. B. do. Desafios e benefícios da implementação de testes automatizados em empresas de software. Cuadernos de Educación y Desarrollo, v. 17, n. 4, e8221, 2025. DOI: 10.55905/cuadv17n4-176.</w:t>
      </w:r>
    </w:p>
    <w:p>
      <w:pPr>
        <w:ind w:left="432" w:hanging="432"/>
      </w:pPr>
      <w:r>
        <w:t>PAPADAKIS, M. et al. Mutation testing advances: an analysis and survey. Advances in Computers, v. 112, p. 275-378, 2019. DOI: 10.1016/bs.adcom.2018.03.015.</w:t>
      </w:r>
    </w:p>
    <w:p>
      <w:pPr>
        <w:ind w:left="432" w:hanging="432"/>
      </w:pPr>
      <w:r>
        <w:t>RAHMAN, Md. S. et al. Evaluating the impact of Test-Driven Development on Software Quality Enhancement. International Journal of Mathematical Sciences and Computing, v. 10, n. 3, p. 51-76, 2024. DOI: 10.5815/ijmsc.2024.03.05.</w:t>
      </w:r>
    </w:p>
    <w:p>
      <w:pPr>
        <w:ind w:left="432" w:hanging="432"/>
      </w:pPr>
      <w:r>
        <w:t>PYTEST-BDD. pytest-bdd documentation. Disponível em: https://pytest-bdd.readthedocs.io/en/latest/.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5A5A"/>
        <w:sz w:val="18"/>
      </w:rPr>
      <w:t xml:space="preserve">Página </w:t>
    </w:r>
    <w:r>
      <w:rPr>
        <w:rFonts w:ascii="Calibri" w:hAnsi="Calibri"/>
        <w:color w:val="5A5A5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A5A5A"/>
        <w:sz w:val="18"/>
      </w:rPr>
      <w:t>TESTE DE SOFTWARE | SPRINT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