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1F4D78"/>
          <w:sz w:val="26"/>
        </w:rPr>
        <w:t>SPRINT 7</w:t>
      </w:r>
    </w:p>
    <w:p>
      <w:pPr>
        <w:spacing w:after="200"/>
        <w:jc w:val="center"/>
      </w:pPr>
      <w:r>
        <w:rPr>
          <w:rFonts w:ascii="Times New Roman" w:hAnsi="Times New Roman"/>
          <w:b/>
          <w:color w:val="1F4D78"/>
          <w:sz w:val="48"/>
        </w:rPr>
        <w:t>Assessment TMMi, Metricas DORA e Position Paper Critico</w:t>
      </w:r>
    </w:p>
    <w:p>
      <w:pPr>
        <w:jc w:val="center"/>
      </w:pPr>
      <w:r>
        <w:rPr>
          <w:rFonts w:ascii="Times New Roman" w:hAnsi="Times New Roman"/>
          <w:i/>
          <w:color w:val="5A5A5A"/>
          <w:sz w:val="26"/>
        </w:rPr>
        <w:t>Projeto: internet_banking_tests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2376"/>
            <w:shd w:fill="E8EEF5"/>
            <w:vAlign w:val="center"/>
            <w:tcMar>
              <w:top w:w="90" w:type="dxa"/>
              <w:start w:w="120" w:type="dxa"/>
              <w:bottom w:w="90" w:type="dxa"/>
              <w:end w:w="120" w:type="dxa"/>
            </w:tcMar>
          </w:tcPr>
          <w:p>
            <w:r>
              <w:rPr>
                <w:rFonts w:ascii="Times New Roman" w:hAnsi="Times New Roman"/>
                <w:b/>
                <w:sz w:val="24"/>
              </w:rPr>
              <w:t>Disciplina</w:t>
            </w:r>
          </w:p>
        </w:tc>
        <w:tc>
          <w:tcPr>
            <w:tcW w:type="dxa" w:w="6984"/>
            <w:vAlign w:val="center"/>
            <w:tcMar>
              <w:top w:w="90" w:type="dxa"/>
              <w:start w:w="120" w:type="dxa"/>
              <w:bottom w:w="90" w:type="dxa"/>
              <w:end w:w="120" w:type="dxa"/>
            </w:tcMar>
          </w:tcPr>
          <w:p>
            <w:r>
              <w:rPr>
                <w:rFonts w:ascii="Times New Roman" w:hAnsi="Times New Roman"/>
                <w:sz w:val="24"/>
              </w:rPr>
              <w:t>Teste de Software</w:t>
            </w:r>
          </w:p>
        </w:tc>
      </w:tr>
      <w:tr>
        <w:tc>
          <w:tcPr>
            <w:tcW w:type="dxa" w:w="2376"/>
            <w:shd w:fill="E8EEF5"/>
            <w:vAlign w:val="center"/>
            <w:tcMar>
              <w:top w:w="90" w:type="dxa"/>
              <w:start w:w="120" w:type="dxa"/>
              <w:bottom w:w="90" w:type="dxa"/>
              <w:end w:w="120" w:type="dxa"/>
            </w:tcMar>
          </w:tcPr>
          <w:p>
            <w:r>
              <w:rPr>
                <w:rFonts w:ascii="Times New Roman" w:hAnsi="Times New Roman"/>
                <w:b/>
                <w:sz w:val="24"/>
              </w:rPr>
              <w:t>Professor</w:t>
            </w:r>
          </w:p>
        </w:tc>
        <w:tc>
          <w:tcPr>
            <w:tcW w:type="dxa" w:w="6984"/>
            <w:vAlign w:val="center"/>
            <w:tcMar>
              <w:top w:w="90" w:type="dxa"/>
              <w:start w:w="120" w:type="dxa"/>
              <w:bottom w:w="90" w:type="dxa"/>
              <w:end w:w="120" w:type="dxa"/>
            </w:tcMar>
          </w:tcPr>
          <w:p>
            <w:r>
              <w:rPr>
                <w:rFonts w:ascii="Times New Roman" w:hAnsi="Times New Roman"/>
                <w:sz w:val="24"/>
              </w:rPr>
              <w:t>Dr. Claudinei de Oliveira</w:t>
            </w:r>
          </w:p>
        </w:tc>
      </w:tr>
      <w:tr>
        <w:tc>
          <w:tcPr>
            <w:tcW w:type="dxa" w:w="2376"/>
            <w:shd w:fill="E8EEF5"/>
            <w:vAlign w:val="center"/>
            <w:tcMar>
              <w:top w:w="90" w:type="dxa"/>
              <w:start w:w="120" w:type="dxa"/>
              <w:bottom w:w="90" w:type="dxa"/>
              <w:end w:w="120" w:type="dxa"/>
            </w:tcMar>
          </w:tcPr>
          <w:p>
            <w:r>
              <w:rPr>
                <w:rFonts w:ascii="Times New Roman" w:hAnsi="Times New Roman"/>
                <w:b/>
                <w:sz w:val="24"/>
              </w:rPr>
              <w:t>Objeto avaliado</w:t>
            </w:r>
          </w:p>
        </w:tc>
        <w:tc>
          <w:tcPr>
            <w:tcW w:type="dxa" w:w="6984"/>
            <w:vAlign w:val="center"/>
            <w:tcMar>
              <w:top w:w="90" w:type="dxa"/>
              <w:start w:w="120" w:type="dxa"/>
              <w:bottom w:w="90" w:type="dxa"/>
              <w:end w:w="120" w:type="dxa"/>
            </w:tcMar>
          </w:tcPr>
          <w:p>
            <w:r>
              <w:rPr>
                <w:rFonts w:ascii="Times New Roman" w:hAnsi="Times New Roman"/>
                <w:sz w:val="24"/>
              </w:rPr>
              <w:t>API Flask de Internet Banking e suite de testes dos Sprints 1 a 6</w:t>
            </w:r>
          </w:p>
        </w:tc>
      </w:tr>
      <w:tr>
        <w:tc>
          <w:tcPr>
            <w:tcW w:type="dxa" w:w="2376"/>
            <w:shd w:fill="E8EEF5"/>
            <w:vAlign w:val="center"/>
            <w:tcMar>
              <w:top w:w="90" w:type="dxa"/>
              <w:start w:w="120" w:type="dxa"/>
              <w:bottom w:w="90" w:type="dxa"/>
              <w:end w:w="120" w:type="dxa"/>
            </w:tcMar>
          </w:tcPr>
          <w:p>
            <w:r>
              <w:rPr>
                <w:rFonts w:ascii="Times New Roman" w:hAnsi="Times New Roman"/>
                <w:b/>
                <w:sz w:val="24"/>
              </w:rPr>
              <w:t>Base empirica</w:t>
            </w:r>
          </w:p>
        </w:tc>
        <w:tc>
          <w:tcPr>
            <w:tcW w:type="dxa" w:w="6984"/>
            <w:vAlign w:val="center"/>
            <w:tcMar>
              <w:top w:w="90" w:type="dxa"/>
              <w:start w:w="120" w:type="dxa"/>
              <w:bottom w:w="90" w:type="dxa"/>
              <w:end w:w="120" w:type="dxa"/>
            </w:tcMar>
          </w:tcPr>
          <w:p>
            <w:r>
              <w:rPr>
                <w:rFonts w:ascii="Times New Roman" w:hAnsi="Times New Roman"/>
                <w:sz w:val="24"/>
              </w:rPr>
              <w:t>app.py, config.py, conftest.py, test_ia_gerado.py, test_hypothesis.py, test_flask_client.py, features/ e resultados mutmut</w:t>
            </w:r>
          </w:p>
        </w:tc>
      </w:tr>
      <w:tr>
        <w:tc>
          <w:tcPr>
            <w:tcW w:type="dxa" w:w="2376"/>
            <w:shd w:fill="E8EEF5"/>
            <w:vAlign w:val="center"/>
            <w:tcMar>
              <w:top w:w="90" w:type="dxa"/>
              <w:start w:w="120" w:type="dxa"/>
              <w:bottom w:w="90" w:type="dxa"/>
              <w:end w:w="120" w:type="dxa"/>
            </w:tcMar>
          </w:tcPr>
          <w:p>
            <w:r>
              <w:rPr>
                <w:rFonts w:ascii="Times New Roman" w:hAnsi="Times New Roman"/>
                <w:b/>
                <w:sz w:val="24"/>
              </w:rPr>
              <w:t>Data</w:t>
            </w:r>
          </w:p>
        </w:tc>
        <w:tc>
          <w:tcPr>
            <w:tcW w:type="dxa" w:w="6984"/>
            <w:vAlign w:val="center"/>
            <w:tcMar>
              <w:top w:w="90" w:type="dxa"/>
              <w:start w:w="120" w:type="dxa"/>
              <w:bottom w:w="90" w:type="dxa"/>
              <w:end w:w="120" w:type="dxa"/>
            </w:tcMar>
          </w:tcPr>
          <w:p>
            <w:r>
              <w:rPr>
                <w:rFonts w:ascii="Times New Roman" w:hAnsi="Times New Roman"/>
                <w:sz w:val="24"/>
              </w:rPr>
              <w:t>24 de junho de 2026</w:t>
            </w:r>
          </w:p>
        </w:tc>
      </w:tr>
    </w:tbl>
    <w:p>
      <w:r>
        <w:br w:type="page"/>
      </w:r>
    </w:p>
    <w:p>
      <w:pPr>
        <w:pStyle w:val="Heading1"/>
      </w:pPr>
      <w:r>
        <w:t>1. Auto-avaliacao TMMi com benchmark financeiro</w:t>
      </w:r>
    </w:p>
    <w:p>
      <w:r>
        <w:rPr>
          <w:rFonts w:ascii="Times New Roman" w:hAnsi="Times New Roman"/>
          <w:sz w:val="24"/>
        </w:rPr>
        <w:t>A avaliacao abaixo compara a suite local com as areas de processo do TMMi Level 2. O criterio usado foi evidência empirica observavel: arquivo, teste, configuracao ou resultado medido. Como referencia externa, Van Veenendaal (2024) relata que o nivel modal no dominio financeiro e o TMMi Level 3 Defined.</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376"/>
            <w:shd w:fill="F2F4F7"/>
            <w:vAlign w:val="center"/>
            <w:tcMar>
              <w:top w:w="90" w:type="dxa"/>
              <w:start w:w="120" w:type="dxa"/>
              <w:bottom w:w="90" w:type="dxa"/>
              <w:end w:w="120" w:type="dxa"/>
            </w:tcMar>
          </w:tcPr>
          <w:p>
            <w:r>
              <w:rPr>
                <w:rFonts w:ascii="Times New Roman" w:hAnsi="Times New Roman"/>
                <w:b/>
                <w:sz w:val="24"/>
              </w:rPr>
              <w:t>Area TMMi Level 2</w:t>
            </w:r>
          </w:p>
        </w:tc>
        <w:tc>
          <w:tcPr>
            <w:tcW w:type="dxa" w:w="1800"/>
            <w:shd w:fill="F2F4F7"/>
            <w:vAlign w:val="center"/>
            <w:tcMar>
              <w:top w:w="90" w:type="dxa"/>
              <w:start w:w="120" w:type="dxa"/>
              <w:bottom w:w="90" w:type="dxa"/>
              <w:end w:w="120" w:type="dxa"/>
            </w:tcMar>
          </w:tcPr>
          <w:p>
            <w:r>
              <w:rPr>
                <w:rFonts w:ascii="Times New Roman" w:hAnsi="Times New Roman"/>
                <w:b/>
                <w:sz w:val="24"/>
              </w:rPr>
              <w:t>Resultado</w:t>
            </w:r>
          </w:p>
        </w:tc>
        <w:tc>
          <w:tcPr>
            <w:tcW w:type="dxa" w:w="5184"/>
            <w:shd w:fill="F2F4F7"/>
            <w:vAlign w:val="center"/>
            <w:tcMar>
              <w:top w:w="90" w:type="dxa"/>
              <w:start w:w="120" w:type="dxa"/>
              <w:bottom w:w="90" w:type="dxa"/>
              <w:end w:w="120" w:type="dxa"/>
            </w:tcMar>
          </w:tcPr>
          <w:p>
            <w:r>
              <w:rPr>
                <w:rFonts w:ascii="Times New Roman" w:hAnsi="Times New Roman"/>
                <w:b/>
                <w:sz w:val="24"/>
              </w:rPr>
              <w:t>Evidencia empirica</w:t>
            </w:r>
          </w:p>
        </w:tc>
      </w:tr>
      <w:tr>
        <w:tc>
          <w:tcPr>
            <w:tcW w:type="dxa" w:w="2376"/>
            <w:vAlign w:val="center"/>
            <w:tcMar>
              <w:top w:w="90" w:type="dxa"/>
              <w:start w:w="120" w:type="dxa"/>
              <w:bottom w:w="90" w:type="dxa"/>
              <w:end w:w="120" w:type="dxa"/>
            </w:tcMar>
          </w:tcPr>
          <w:p>
            <w:r>
              <w:rPr>
                <w:rFonts w:ascii="Times New Roman" w:hAnsi="Times New Roman"/>
                <w:sz w:val="21"/>
              </w:rPr>
              <w:t>Test Policy and Strategy</w:t>
            </w:r>
          </w:p>
        </w:tc>
        <w:tc>
          <w:tcPr>
            <w:tcW w:type="dxa" w:w="1800"/>
            <w:shd w:fill="FFF2CC"/>
            <w:vAlign w:val="center"/>
            <w:tcMar>
              <w:top w:w="90" w:type="dxa"/>
              <w:start w:w="120" w:type="dxa"/>
              <w:bottom w:w="90" w:type="dxa"/>
              <w:end w:w="120" w:type="dxa"/>
            </w:tcMar>
          </w:tcPr>
          <w:p>
            <w:r>
              <w:rPr>
                <w:rFonts w:ascii="Times New Roman" w:hAnsi="Times New Roman"/>
                <w:sz w:val="21"/>
              </w:rPr>
              <w:t>Nao atinge formalmente</w:t>
            </w:r>
          </w:p>
        </w:tc>
        <w:tc>
          <w:tcPr>
            <w:tcW w:type="dxa" w:w="5184"/>
            <w:vAlign w:val="center"/>
            <w:tcMar>
              <w:top w:w="90" w:type="dxa"/>
              <w:start w:w="120" w:type="dxa"/>
              <w:bottom w:w="90" w:type="dxa"/>
              <w:end w:w="120" w:type="dxa"/>
            </w:tcMar>
          </w:tcPr>
          <w:p>
            <w:r>
              <w:rPr>
                <w:rFonts w:ascii="Times New Roman" w:hAnsi="Times New Roman"/>
                <w:sz w:val="21"/>
              </w:rPr>
              <w:t>Nao ha documento de politica ou estrategia de testes. O arquivo RESPOSTAS_SPRINT5_EDITAVEL.md registra decisoes tecnicas, mas nao estabelece objetivos, escopo, riscos e criterios de saida como politica formal.</w:t>
            </w:r>
          </w:p>
        </w:tc>
      </w:tr>
      <w:tr>
        <w:tc>
          <w:tcPr>
            <w:tcW w:type="dxa" w:w="2376"/>
            <w:vAlign w:val="center"/>
            <w:tcMar>
              <w:top w:w="90" w:type="dxa"/>
              <w:start w:w="120" w:type="dxa"/>
              <w:bottom w:w="90" w:type="dxa"/>
              <w:end w:w="120" w:type="dxa"/>
            </w:tcMar>
          </w:tcPr>
          <w:p>
            <w:r>
              <w:rPr>
                <w:rFonts w:ascii="Times New Roman" w:hAnsi="Times New Roman"/>
                <w:sz w:val="21"/>
              </w:rPr>
              <w:t>Test Planning</w:t>
            </w:r>
          </w:p>
        </w:tc>
        <w:tc>
          <w:tcPr>
            <w:tcW w:type="dxa" w:w="1800"/>
            <w:shd w:fill="FFF2CC"/>
            <w:vAlign w:val="center"/>
            <w:tcMar>
              <w:top w:w="90" w:type="dxa"/>
              <w:start w:w="120" w:type="dxa"/>
              <w:bottom w:w="90" w:type="dxa"/>
              <w:end w:w="120" w:type="dxa"/>
            </w:tcMar>
          </w:tcPr>
          <w:p>
            <w:r>
              <w:rPr>
                <w:rFonts w:ascii="Times New Roman" w:hAnsi="Times New Roman"/>
                <w:sz w:val="21"/>
              </w:rPr>
              <w:t>Parcial</w:t>
            </w:r>
          </w:p>
        </w:tc>
        <w:tc>
          <w:tcPr>
            <w:tcW w:type="dxa" w:w="5184"/>
            <w:vAlign w:val="center"/>
            <w:tcMar>
              <w:top w:w="90" w:type="dxa"/>
              <w:start w:w="120" w:type="dxa"/>
              <w:bottom w:w="90" w:type="dxa"/>
              <w:end w:w="120" w:type="dxa"/>
            </w:tcMar>
          </w:tcPr>
          <w:p>
            <w:r>
              <w:rPr>
                <w:rFonts w:ascii="Times New Roman" w:hAnsi="Times New Roman"/>
                <w:sz w:val="21"/>
              </w:rPr>
              <w:t>Ha planejamento incremental por sprint, evidenciado pelos arquivos de entrega e resultados mutmut. Entretanto, nao ha plano global de testes cobrindo todos os sprints, responsabilidades, cronograma e criterios de aceite.</w:t>
            </w:r>
          </w:p>
        </w:tc>
      </w:tr>
      <w:tr>
        <w:tc>
          <w:tcPr>
            <w:tcW w:type="dxa" w:w="2376"/>
            <w:vAlign w:val="center"/>
            <w:tcMar>
              <w:top w:w="90" w:type="dxa"/>
              <w:start w:w="120" w:type="dxa"/>
              <w:bottom w:w="90" w:type="dxa"/>
              <w:end w:w="120" w:type="dxa"/>
            </w:tcMar>
          </w:tcPr>
          <w:p>
            <w:r>
              <w:rPr>
                <w:rFonts w:ascii="Times New Roman" w:hAnsi="Times New Roman"/>
                <w:sz w:val="21"/>
              </w:rPr>
              <w:t>Test Monitoring and Control</w:t>
            </w:r>
          </w:p>
        </w:tc>
        <w:tc>
          <w:tcPr>
            <w:tcW w:type="dxa" w:w="1800"/>
            <w:shd w:fill="FFF2CC"/>
            <w:vAlign w:val="center"/>
            <w:tcMar>
              <w:top w:w="90" w:type="dxa"/>
              <w:start w:w="120" w:type="dxa"/>
              <w:bottom w:w="90" w:type="dxa"/>
              <w:end w:w="120" w:type="dxa"/>
            </w:tcMar>
          </w:tcPr>
          <w:p>
            <w:r>
              <w:rPr>
                <w:rFonts w:ascii="Times New Roman" w:hAnsi="Times New Roman"/>
                <w:sz w:val="21"/>
              </w:rPr>
              <w:t>Atinge parcialmente</w:t>
            </w:r>
          </w:p>
        </w:tc>
        <w:tc>
          <w:tcPr>
            <w:tcW w:type="dxa" w:w="5184"/>
            <w:vAlign w:val="center"/>
            <w:tcMar>
              <w:top w:w="90" w:type="dxa"/>
              <w:start w:w="120" w:type="dxa"/>
              <w:bottom w:w="90" w:type="dxa"/>
              <w:end w:w="120" w:type="dxa"/>
            </w:tcMar>
          </w:tcPr>
          <w:p>
            <w:r>
              <w:rPr>
                <w:rFonts w:ascii="Times New Roman" w:hAnsi="Times New Roman"/>
                <w:sz w:val="21"/>
              </w:rPr>
              <w:t>Os arquivos RESULTADOS_MUTMUT_SPRINT4.md e RESULTADOS_MUTMUT_SPRINT5.md monitoram 219 mutantes, mortos, sobreviventes e sem teste. Tambem ha registro de 14 testes verdes apos BDD.</w:t>
            </w:r>
          </w:p>
        </w:tc>
      </w:tr>
      <w:tr>
        <w:tc>
          <w:tcPr>
            <w:tcW w:type="dxa" w:w="2376"/>
            <w:vAlign w:val="center"/>
            <w:tcMar>
              <w:top w:w="90" w:type="dxa"/>
              <w:start w:w="120" w:type="dxa"/>
              <w:bottom w:w="90" w:type="dxa"/>
              <w:end w:w="120" w:type="dxa"/>
            </w:tcMar>
          </w:tcPr>
          <w:p>
            <w:r>
              <w:rPr>
                <w:rFonts w:ascii="Times New Roman" w:hAnsi="Times New Roman"/>
                <w:sz w:val="21"/>
              </w:rPr>
              <w:t>Test Design and Execution</w:t>
            </w:r>
          </w:p>
        </w:tc>
        <w:tc>
          <w:tcPr>
            <w:tcW w:type="dxa" w:w="1800"/>
            <w:shd w:fill="E2F0D9"/>
            <w:vAlign w:val="center"/>
            <w:tcMar>
              <w:top w:w="90" w:type="dxa"/>
              <w:start w:w="120" w:type="dxa"/>
              <w:bottom w:w="90" w:type="dxa"/>
              <w:end w:w="120" w:type="dxa"/>
            </w:tcMar>
          </w:tcPr>
          <w:p>
            <w:r>
              <w:rPr>
                <w:rFonts w:ascii="Times New Roman" w:hAnsi="Times New Roman"/>
                <w:sz w:val="21"/>
              </w:rPr>
              <w:t>Atinge</w:t>
            </w:r>
          </w:p>
        </w:tc>
        <w:tc>
          <w:tcPr>
            <w:tcW w:type="dxa" w:w="5184"/>
            <w:vAlign w:val="center"/>
            <w:tcMar>
              <w:top w:w="90" w:type="dxa"/>
              <w:start w:w="120" w:type="dxa"/>
              <w:bottom w:w="90" w:type="dxa"/>
              <w:end w:w="120" w:type="dxa"/>
            </w:tcMar>
          </w:tcPr>
          <w:p>
            <w:r>
              <w:rPr>
                <w:rFonts w:ascii="Times New Roman" w:hAnsi="Times New Roman"/>
                <w:sz w:val="21"/>
              </w:rPr>
              <w:t>A suite aplica teste de API, analise de fronteira para valor zero/negativo, particao de equivalencia para contas existentes/inexistentes, property-based testing em test_hypothesis.py e cenarios BDD em features/transferencia.feature.</w:t>
            </w:r>
          </w:p>
        </w:tc>
      </w:tr>
      <w:tr>
        <w:tc>
          <w:tcPr>
            <w:tcW w:type="dxa" w:w="2376"/>
            <w:vAlign w:val="center"/>
            <w:tcMar>
              <w:top w:w="90" w:type="dxa"/>
              <w:start w:w="120" w:type="dxa"/>
              <w:bottom w:w="90" w:type="dxa"/>
              <w:end w:w="120" w:type="dxa"/>
            </w:tcMar>
          </w:tcPr>
          <w:p>
            <w:r>
              <w:rPr>
                <w:rFonts w:ascii="Times New Roman" w:hAnsi="Times New Roman"/>
                <w:sz w:val="21"/>
              </w:rPr>
              <w:t>Test Environment</w:t>
            </w:r>
          </w:p>
        </w:tc>
        <w:tc>
          <w:tcPr>
            <w:tcW w:type="dxa" w:w="1800"/>
            <w:shd w:fill="E2F0D9"/>
            <w:vAlign w:val="center"/>
            <w:tcMar>
              <w:top w:w="90" w:type="dxa"/>
              <w:start w:w="120" w:type="dxa"/>
              <w:bottom w:w="90" w:type="dxa"/>
              <w:end w:w="120" w:type="dxa"/>
            </w:tcMar>
          </w:tcPr>
          <w:p>
            <w:r>
              <w:rPr>
                <w:rFonts w:ascii="Times New Roman" w:hAnsi="Times New Roman"/>
                <w:sz w:val="21"/>
              </w:rPr>
              <w:t>Atinge</w:t>
            </w:r>
          </w:p>
        </w:tc>
        <w:tc>
          <w:tcPr>
            <w:tcW w:type="dxa" w:w="5184"/>
            <w:vAlign w:val="center"/>
            <w:tcMar>
              <w:top w:w="90" w:type="dxa"/>
              <w:start w:w="120" w:type="dxa"/>
              <w:bottom w:w="90" w:type="dxa"/>
              <w:end w:w="120" w:type="dxa"/>
            </w:tcMar>
          </w:tcPr>
          <w:p>
            <w:r>
              <w:rPr>
                <w:rFonts w:ascii="Times New Roman" w:hAnsi="Times New Roman"/>
                <w:sz w:val="21"/>
              </w:rPr>
              <w:t>config.py externaliza DATABASE e TESTING; conftest.py define fixture autouse para resetar banking.db antes de cada teste e fornece Flask test client. Isso torna o ambiente controlado e reproduzivel.</w:t>
            </w:r>
          </w:p>
        </w:tc>
      </w:tr>
    </w:tbl>
    <w:p>
      <w:r>
        <w:rPr>
          <w:rFonts w:ascii="Times New Roman" w:hAnsi="Times New Roman"/>
          <w:sz w:val="24"/>
        </w:rPr>
        <w:t>Quanto ao Level 3, ha pouca evidencia de Test Organization, Test Training Program, Non-functional Testing e Peer Reviews. O projeto possui integracao progressiva entre ciclo de vida e teste, mas ainda como pratica academica individual, nao como processo definido organizacionalmente.</w:t>
      </w:r>
    </w:p>
    <w:p>
      <w:r>
        <w:rPr>
          <w:rFonts w:ascii="Times New Roman" w:hAnsi="Times New Roman"/>
          <w:sz w:val="24"/>
        </w:rPr>
        <w:t>Conclusao tecnica: a suite se posiciona formalmente no TMMi Level 1 Initial com praticas fortes de Level 2, porque nao atende completamente politica e planejamento. Ela fica abaixo do benchmark TMMi Level 3 Defined identificado por Van Veenendaal (2024) para o setor financeiro, embora ja demonstre evidencias concretas de ambiente, design e monitoramento de testes.</w:t>
      </w:r>
    </w:p>
    <w:p>
      <w:pPr>
        <w:pStyle w:val="Heading1"/>
      </w:pPr>
      <w:r>
        <w:t>2. Calculo numerico das metricas DORA</w:t>
      </w:r>
    </w:p>
    <w:p>
      <w:r>
        <w:rPr>
          <w:rFonts w:ascii="Times New Roman" w:hAnsi="Times New Roman"/>
          <w:sz w:val="24"/>
        </w:rPr>
        <w:t>Como os arquivos locais foram reconstruidos em 12-06-2026, seus timestamps atuais nao preservam com confiabilidade a data original do primeiro pytest verde da Q8. Por honestidade metodologica, os dois tempos historicos abaixo sao estimados pelo calendario dos sprints, enquanto os dados de mutacao sao calculados diretamente dos resultados registrados.</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00"/>
            <w:shd w:fill="F2F4F7"/>
            <w:vAlign w:val="center"/>
            <w:tcMar>
              <w:top w:w="90" w:type="dxa"/>
              <w:start w:w="120" w:type="dxa"/>
              <w:bottom w:w="90" w:type="dxa"/>
              <w:end w:w="120" w:type="dxa"/>
            </w:tcMar>
          </w:tcPr>
          <w:p>
            <w:r>
              <w:rPr>
                <w:rFonts w:ascii="Times New Roman" w:hAnsi="Times New Roman"/>
                <w:b/>
                <w:sz w:val="19"/>
              </w:rPr>
              <w:t>Metrica</w:t>
            </w:r>
          </w:p>
        </w:tc>
        <w:tc>
          <w:tcPr>
            <w:tcW w:type="dxa" w:w="2664"/>
            <w:shd w:fill="F2F4F7"/>
            <w:vAlign w:val="center"/>
            <w:tcMar>
              <w:top w:w="90" w:type="dxa"/>
              <w:start w:w="120" w:type="dxa"/>
              <w:bottom w:w="90" w:type="dxa"/>
              <w:end w:w="120" w:type="dxa"/>
            </w:tcMar>
          </w:tcPr>
          <w:p>
            <w:r>
              <w:rPr>
                <w:rFonts w:ascii="Times New Roman" w:hAnsi="Times New Roman"/>
                <w:b/>
                <w:sz w:val="19"/>
              </w:rPr>
              <w:t>Definicao operacional</w:t>
            </w:r>
          </w:p>
        </w:tc>
        <w:tc>
          <w:tcPr>
            <w:tcW w:type="dxa" w:w="2376"/>
            <w:shd w:fill="F2F4F7"/>
            <w:vAlign w:val="center"/>
            <w:tcMar>
              <w:top w:w="90" w:type="dxa"/>
              <w:start w:w="120" w:type="dxa"/>
              <w:bottom w:w="90" w:type="dxa"/>
              <w:end w:w="120" w:type="dxa"/>
            </w:tcMar>
          </w:tcPr>
          <w:p>
            <w:r>
              <w:rPr>
                <w:rFonts w:ascii="Times New Roman" w:hAnsi="Times New Roman"/>
                <w:b/>
                <w:sz w:val="19"/>
              </w:rPr>
              <w:t>Valor</w:t>
            </w:r>
          </w:p>
        </w:tc>
        <w:tc>
          <w:tcPr>
            <w:tcW w:type="dxa" w:w="2520"/>
            <w:shd w:fill="F2F4F7"/>
            <w:vAlign w:val="center"/>
            <w:tcMar>
              <w:top w:w="90" w:type="dxa"/>
              <w:start w:w="120" w:type="dxa"/>
              <w:bottom w:w="90" w:type="dxa"/>
              <w:end w:w="120" w:type="dxa"/>
            </w:tcMar>
          </w:tcPr>
          <w:p>
            <w:r>
              <w:rPr>
                <w:rFonts w:ascii="Times New Roman" w:hAnsi="Times New Roman"/>
                <w:b/>
                <w:sz w:val="19"/>
              </w:rPr>
              <w:t>Cluster e justificativa</w:t>
            </w:r>
          </w:p>
        </w:tc>
      </w:tr>
      <w:tr>
        <w:tc>
          <w:tcPr>
            <w:tcW w:type="dxa" w:w="1800"/>
            <w:vAlign w:val="center"/>
            <w:tcMar>
              <w:top w:w="90" w:type="dxa"/>
              <w:start w:w="120" w:type="dxa"/>
              <w:bottom w:w="90" w:type="dxa"/>
              <w:end w:w="120" w:type="dxa"/>
            </w:tcMar>
          </w:tcPr>
          <w:p>
            <w:r>
              <w:rPr>
                <w:rFonts w:ascii="Times New Roman" w:hAnsi="Times New Roman"/>
                <w:sz w:val="17"/>
              </w:rPr>
              <w:t>Lead Time for Changes</w:t>
            </w:r>
          </w:p>
        </w:tc>
        <w:tc>
          <w:tcPr>
            <w:tcW w:type="dxa" w:w="2664"/>
            <w:vAlign w:val="center"/>
            <w:tcMar>
              <w:top w:w="90" w:type="dxa"/>
              <w:start w:w="120" w:type="dxa"/>
              <w:bottom w:w="90" w:type="dxa"/>
              <w:end w:w="120" w:type="dxa"/>
            </w:tcMar>
          </w:tcPr>
          <w:p>
            <w:r>
              <w:rPr>
                <w:rFonts w:ascii="Times New Roman" w:hAnsi="Times New Roman"/>
                <w:sz w:val="17"/>
              </w:rPr>
              <w:t>Tempo entre a Q8 de 09-05-2026 e o primeiro pytest verde do test_ia_gerado.py.</w:t>
            </w:r>
          </w:p>
        </w:tc>
        <w:tc>
          <w:tcPr>
            <w:tcW w:type="dxa" w:w="2376"/>
            <w:vAlign w:val="center"/>
            <w:tcMar>
              <w:top w:w="90" w:type="dxa"/>
              <w:start w:w="120" w:type="dxa"/>
              <w:bottom w:w="90" w:type="dxa"/>
              <w:end w:w="120" w:type="dxa"/>
            </w:tcMar>
          </w:tcPr>
          <w:p>
            <w:r>
              <w:rPr>
                <w:rFonts w:ascii="Times New Roman" w:hAnsi="Times New Roman"/>
                <w:sz w:val="17"/>
              </w:rPr>
              <w:t>7 dias, estimado. Os metadados atuais do arquivo mostram 12-06-2026, indicando que a pasta foi consolidada posteriormente.</w:t>
            </w:r>
          </w:p>
        </w:tc>
        <w:tc>
          <w:tcPr>
            <w:tcW w:type="dxa" w:w="2520"/>
            <w:vAlign w:val="center"/>
            <w:tcMar>
              <w:top w:w="90" w:type="dxa"/>
              <w:start w:w="120" w:type="dxa"/>
              <w:bottom w:w="90" w:type="dxa"/>
              <w:end w:w="120" w:type="dxa"/>
            </w:tcMar>
          </w:tcPr>
          <w:p>
            <w:r>
              <w:rPr>
                <w:rFonts w:ascii="Times New Roman" w:hAnsi="Times New Roman"/>
                <w:sz w:val="17"/>
              </w:rPr>
              <w:t>Medium. A entrega ocorre no ciclo seguinte, nao em fluxo continuo.</w:t>
            </w:r>
          </w:p>
        </w:tc>
      </w:tr>
      <w:tr>
        <w:tc>
          <w:tcPr>
            <w:tcW w:type="dxa" w:w="1800"/>
            <w:vAlign w:val="center"/>
            <w:tcMar>
              <w:top w:w="90" w:type="dxa"/>
              <w:start w:w="120" w:type="dxa"/>
              <w:bottom w:w="90" w:type="dxa"/>
              <w:end w:w="120" w:type="dxa"/>
            </w:tcMar>
          </w:tcPr>
          <w:p>
            <w:r>
              <w:rPr>
                <w:rFonts w:ascii="Times New Roman" w:hAnsi="Times New Roman"/>
                <w:sz w:val="17"/>
              </w:rPr>
              <w:t>Deployment Frequency</w:t>
            </w:r>
          </w:p>
        </w:tc>
        <w:tc>
          <w:tcPr>
            <w:tcW w:type="dxa" w:w="2664"/>
            <w:vAlign w:val="center"/>
            <w:tcMar>
              <w:top w:w="90" w:type="dxa"/>
              <w:start w:w="120" w:type="dxa"/>
              <w:bottom w:w="90" w:type="dxa"/>
              <w:end w:w="120" w:type="dxa"/>
            </w:tcMar>
          </w:tcPr>
          <w:p>
            <w:r>
              <w:rPr>
                <w:rFonts w:ascii="Times New Roman" w:hAnsi="Times New Roman"/>
                <w:sz w:val="17"/>
              </w:rPr>
              <w:t>Quantidade de sprints concluidos por semana ao longo do periodo empirico.</w:t>
            </w:r>
          </w:p>
        </w:tc>
        <w:tc>
          <w:tcPr>
            <w:tcW w:type="dxa" w:w="2376"/>
            <w:vAlign w:val="center"/>
            <w:tcMar>
              <w:top w:w="90" w:type="dxa"/>
              <w:start w:w="120" w:type="dxa"/>
              <w:bottom w:w="90" w:type="dxa"/>
              <w:end w:w="120" w:type="dxa"/>
            </w:tcMar>
          </w:tcPr>
          <w:p>
            <w:r>
              <w:rPr>
                <w:rFonts w:ascii="Times New Roman" w:hAnsi="Times New Roman"/>
                <w:sz w:val="17"/>
              </w:rPr>
              <w:t>6 sprints entre 09-05-2026 e 12-06-2026: 6 / 4,86 = 1,23 sprints por semana.</w:t>
            </w:r>
          </w:p>
        </w:tc>
        <w:tc>
          <w:tcPr>
            <w:tcW w:type="dxa" w:w="2520"/>
            <w:vAlign w:val="center"/>
            <w:tcMar>
              <w:top w:w="90" w:type="dxa"/>
              <w:start w:w="120" w:type="dxa"/>
              <w:bottom w:w="90" w:type="dxa"/>
              <w:end w:w="120" w:type="dxa"/>
            </w:tcMar>
          </w:tcPr>
          <w:p>
            <w:r>
              <w:rPr>
                <w:rFonts w:ascii="Times New Roman" w:hAnsi="Times New Roman"/>
                <w:sz w:val="17"/>
              </w:rPr>
              <w:t>High para contexto academico: cadencia proxima de uma entrega semanal.</w:t>
            </w:r>
          </w:p>
        </w:tc>
      </w:tr>
      <w:tr>
        <w:tc>
          <w:tcPr>
            <w:tcW w:type="dxa" w:w="1800"/>
            <w:vAlign w:val="center"/>
            <w:tcMar>
              <w:top w:w="90" w:type="dxa"/>
              <w:start w:w="120" w:type="dxa"/>
              <w:bottom w:w="90" w:type="dxa"/>
              <w:end w:w="120" w:type="dxa"/>
            </w:tcMar>
          </w:tcPr>
          <w:p>
            <w:r>
              <w:rPr>
                <w:rFonts w:ascii="Times New Roman" w:hAnsi="Times New Roman"/>
                <w:sz w:val="17"/>
              </w:rPr>
              <w:t>Change Failure Rate</w:t>
            </w:r>
          </w:p>
        </w:tc>
        <w:tc>
          <w:tcPr>
            <w:tcW w:type="dxa" w:w="2664"/>
            <w:vAlign w:val="center"/>
            <w:tcMar>
              <w:top w:w="90" w:type="dxa"/>
              <w:start w:w="120" w:type="dxa"/>
              <w:bottom w:w="90" w:type="dxa"/>
              <w:end w:w="120" w:type="dxa"/>
            </w:tcMar>
          </w:tcPr>
          <w:p>
            <w:r>
              <w:rPr>
                <w:rFonts w:ascii="Times New Roman" w:hAnsi="Times New Roman"/>
                <w:sz w:val="17"/>
              </w:rPr>
              <w:t>Mutantes sobreviventes no Sprint 4 divididos pelo total de mutantes gerados.</w:t>
            </w:r>
          </w:p>
        </w:tc>
        <w:tc>
          <w:tcPr>
            <w:tcW w:type="dxa" w:w="2376"/>
            <w:vAlign w:val="center"/>
            <w:tcMar>
              <w:top w:w="90" w:type="dxa"/>
              <w:start w:w="120" w:type="dxa"/>
              <w:bottom w:w="90" w:type="dxa"/>
              <w:end w:w="120" w:type="dxa"/>
            </w:tcMar>
          </w:tcPr>
          <w:p>
            <w:r>
              <w:rPr>
                <w:rFonts w:ascii="Times New Roman" w:hAnsi="Times New Roman"/>
                <w:sz w:val="17"/>
              </w:rPr>
              <w:t>52 / 219 = 23,7%. Apos BDD, o valor caiu para 35 / 219 = 16,0%.</w:t>
            </w:r>
          </w:p>
        </w:tc>
        <w:tc>
          <w:tcPr>
            <w:tcW w:type="dxa" w:w="2520"/>
            <w:vAlign w:val="center"/>
            <w:tcMar>
              <w:top w:w="90" w:type="dxa"/>
              <w:start w:w="120" w:type="dxa"/>
              <w:bottom w:w="90" w:type="dxa"/>
              <w:end w:w="120" w:type="dxa"/>
            </w:tcMar>
          </w:tcPr>
          <w:p>
            <w:r>
              <w:rPr>
                <w:rFonts w:ascii="Times New Roman" w:hAnsi="Times New Roman"/>
                <w:sz w:val="17"/>
              </w:rPr>
              <w:t>Medium/Low. O numero mostra lacunas reais, mas houve melhoria empirica no Sprint 5.</w:t>
            </w:r>
          </w:p>
        </w:tc>
      </w:tr>
      <w:tr>
        <w:tc>
          <w:tcPr>
            <w:tcW w:type="dxa" w:w="1800"/>
            <w:vAlign w:val="center"/>
            <w:tcMar>
              <w:top w:w="90" w:type="dxa"/>
              <w:start w:w="120" w:type="dxa"/>
              <w:bottom w:w="90" w:type="dxa"/>
              <w:end w:w="120" w:type="dxa"/>
            </w:tcMar>
          </w:tcPr>
          <w:p>
            <w:r>
              <w:rPr>
                <w:rFonts w:ascii="Times New Roman" w:hAnsi="Times New Roman"/>
                <w:sz w:val="17"/>
              </w:rPr>
              <w:t>Mean Time to Recovery</w:t>
            </w:r>
          </w:p>
        </w:tc>
        <w:tc>
          <w:tcPr>
            <w:tcW w:type="dxa" w:w="2664"/>
            <w:vAlign w:val="center"/>
            <w:tcMar>
              <w:top w:w="90" w:type="dxa"/>
              <w:start w:w="120" w:type="dxa"/>
              <w:bottom w:w="90" w:type="dxa"/>
              <w:end w:w="120" w:type="dxa"/>
            </w:tcMar>
          </w:tcPr>
          <w:p>
            <w:r>
              <w:rPr>
                <w:rFonts w:ascii="Times New Roman" w:hAnsi="Times New Roman"/>
                <w:sz w:val="17"/>
              </w:rPr>
              <w:t>Tempo entre a falha repetida do teste de saldo igual ao valor e a correcao via fixture autouse em conftest.py.</w:t>
            </w:r>
          </w:p>
        </w:tc>
        <w:tc>
          <w:tcPr>
            <w:tcW w:type="dxa" w:w="2376"/>
            <w:vAlign w:val="center"/>
            <w:tcMar>
              <w:top w:w="90" w:type="dxa"/>
              <w:start w:w="120" w:type="dxa"/>
              <w:bottom w:w="90" w:type="dxa"/>
              <w:end w:w="120" w:type="dxa"/>
            </w:tcMar>
          </w:tcPr>
          <w:p>
            <w:r>
              <w:rPr>
                <w:rFonts w:ascii="Times New Roman" w:hAnsi="Times New Roman"/>
                <w:sz w:val="17"/>
              </w:rPr>
              <w:t>7 dias, estimado, correspondente ao intervalo Sprint 1 -&gt; Sprint 2.</w:t>
            </w:r>
          </w:p>
        </w:tc>
        <w:tc>
          <w:tcPr>
            <w:tcW w:type="dxa" w:w="2520"/>
            <w:vAlign w:val="center"/>
            <w:tcMar>
              <w:top w:w="90" w:type="dxa"/>
              <w:start w:w="120" w:type="dxa"/>
              <w:bottom w:w="90" w:type="dxa"/>
              <w:end w:w="120" w:type="dxa"/>
            </w:tcMar>
          </w:tcPr>
          <w:p>
            <w:r>
              <w:rPr>
                <w:rFonts w:ascii="Times New Roman" w:hAnsi="Times New Roman"/>
                <w:sz w:val="17"/>
              </w:rPr>
              <w:t>Medium. A recuperacao aconteceu no sprint seguinte, nao no mesmo dia.</w:t>
            </w:r>
          </w:p>
        </w:tc>
      </w:tr>
    </w:tbl>
    <w:p>
      <w:r>
        <w:rPr>
          <w:rFonts w:ascii="Times New Roman" w:hAnsi="Times New Roman"/>
          <w:sz w:val="24"/>
        </w:rPr>
        <w:t>Posicionamento geral: se a suite fosse uma equipe real de producao, eu a classificaria como Medium Performer. A cadencia de entrega e boa, mas a taxa de falha por mutantes sobreviventes e o tempo de recuperacao semanal impedem classificacao High ou Elite.</w:t>
      </w:r>
    </w:p>
    <w:p>
      <w:pPr>
        <w:jc w:val="center"/>
      </w:pPr>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planilha_dora_sprint7.png"/>
                    <pic:cNvPicPr/>
                  </pic:nvPicPr>
                  <pic:blipFill>
                    <a:blip r:embed="rId11"/>
                    <a:stretch>
                      <a:fillRect/>
                    </a:stretch>
                  </pic:blipFill>
                  <pic:spPr>
                    <a:xfrm>
                      <a:off x="0" y="0"/>
                      <a:ext cx="5760720" cy="2304288"/>
                    </a:xfrm>
                    <a:prstGeom prst="rect"/>
                  </pic:spPr>
                </pic:pic>
              </a:graphicData>
            </a:graphic>
          </wp:inline>
        </w:drawing>
      </w:r>
    </w:p>
    <w:p>
      <w:pPr>
        <w:jc w:val="center"/>
      </w:pPr>
      <w:r>
        <w:rPr>
          <w:rFonts w:ascii="Times New Roman" w:hAnsi="Times New Roman"/>
          <w:i/>
          <w:color w:val="5A5A5A"/>
          <w:sz w:val="20"/>
        </w:rPr>
        <w:t>Figura 1 - Planilha DORA exportada como imagem.</w:t>
      </w:r>
    </w:p>
    <w:p>
      <w:pPr>
        <w:pStyle w:val="Heading1"/>
      </w:pPr>
      <w:r>
        <w:t>3. Confronto com El Haji, Brandt e Zaidman (2024)</w:t>
      </w:r>
    </w:p>
    <w:p>
      <w:r>
        <w:rPr>
          <w:rFonts w:ascii="Times New Roman" w:hAnsi="Times New Roman"/>
          <w:sz w:val="24"/>
        </w:rPr>
        <w:t>El Haji, Brandt e Zaidman (2024) avaliaram 290 testes gerados por GitHub Copilot em projetos Python e observaram baixa usabilidade: com contexto de suite existente, menos da metade das geracoes passava diretamente; sem contexto, a situacao foi muito pior. Essa conclusao dialoga diretamente com a trajetoria deste projeto.</w:t>
      </w:r>
    </w:p>
    <w:p>
      <w:r>
        <w:rPr>
          <w:rFonts w:ascii="Times New Roman" w:hAnsi="Times New Roman"/>
          <w:b/>
          <w:sz w:val="24"/>
        </w:rPr>
        <w:t xml:space="preserve">Baixa usabilidade confirmada. </w:t>
      </w:r>
      <w:r>
        <w:rPr>
          <w:rFonts w:ascii="Times New Roman" w:hAnsi="Times New Roman"/>
          <w:sz w:val="24"/>
        </w:rPr>
        <w:t xml:space="preserve">a) Evidencia dos Sprints 1, 4 e 5: </w:t>
      </w:r>
    </w:p>
    <w:p>
      <w:pPr>
        <w:spacing w:after="100" w:line="300" w:lineRule="auto"/>
        <w:ind w:left="360" w:hanging="216"/>
      </w:pPr>
      <w:r>
        <w:rPr>
          <w:rFonts w:ascii="Times New Roman" w:hAnsi="Times New Roman"/>
          <w:sz w:val="24"/>
        </w:rPr>
        <w:t xml:space="preserve">- </w:t>
      </w:r>
      <w:r>
        <w:rPr>
          <w:rFonts w:ascii="Times New Roman" w:hAnsi="Times New Roman"/>
          <w:sz w:val="24"/>
        </w:rPr>
        <w:t>No Sprint 1, test_ia_gerado.py usava requests contra servidor externo, dependia de estado persistente do banking.db e tinha teste sensivel a execucao consecutiva: test_transferencia_saldo_igual_valor podia falhar com HTTP 422 por saldo insuficiente se o banco nao fosse resetado.</w:t>
      </w:r>
    </w:p>
    <w:p>
      <w:pPr>
        <w:spacing w:after="100" w:line="300" w:lineRule="auto"/>
        <w:ind w:left="360" w:hanging="216"/>
      </w:pPr>
      <w:r>
        <w:rPr>
          <w:rFonts w:ascii="Times New Roman" w:hAnsi="Times New Roman"/>
          <w:sz w:val="24"/>
        </w:rPr>
        <w:t xml:space="preserve">- </w:t>
      </w:r>
      <w:r>
        <w:rPr>
          <w:rFonts w:ascii="Times New Roman" w:hAnsi="Times New Roman"/>
          <w:sz w:val="24"/>
        </w:rPr>
        <w:t>No Sprint 4, 52 de 219 mutantes sobreviveram, indicando que a suite gerada e adaptada ainda nao detectava mudancas sintaticas relevantes.</w:t>
      </w:r>
    </w:p>
    <w:p>
      <w:pPr>
        <w:spacing w:after="100" w:line="300" w:lineRule="auto"/>
        <w:ind w:left="360" w:hanging="216"/>
      </w:pPr>
      <w:r>
        <w:rPr>
          <w:rFonts w:ascii="Times New Roman" w:hAnsi="Times New Roman"/>
          <w:sz w:val="24"/>
        </w:rPr>
        <w:t xml:space="preserve">- </w:t>
      </w:r>
      <w:r>
        <w:rPr>
          <w:rFonts w:ascii="Times New Roman" w:hAnsi="Times New Roman"/>
          <w:sz w:val="24"/>
        </w:rPr>
        <w:t>No Sprint 5, os steps BDD precisaram ser revisados para usar Flask test client e a fixture central client, sem criar outro reset de banco nem depender de requests. Esse foi o problema arquitetural central da automacao.</w:t>
      </w:r>
    </w:p>
    <w:p>
      <w:r>
        <w:rPr>
          <w:rFonts w:ascii="Times New Roman" w:hAnsi="Times New Roman"/>
          <w:sz w:val="24"/>
        </w:rPr>
        <w:t>b) Contexto melhora a geracao: quando conftest.py surgiu no Sprint 2, ele formalizou o aprendizado do Sprint 1: reset autouse, app.test_client() e app.config controlado. Isso criou contexto estrutural que permitiu aos testes posteriores imitarem uma arquitetura correta, em vez de repetir o padrao fragil de servidor externo.</w:t>
      </w:r>
    </w:p>
    <w:p>
      <w:r>
        <w:rPr>
          <w:rFonts w:ascii="Times New Roman" w:hAnsi="Times New Roman"/>
          <w:sz w:val="24"/>
        </w:rPr>
        <w:t>c) Copilot como assistente, nao autoridade: o momento decisivo ocorreu quando o teste aparentemente correto de saldo igual ao valor falhou na segunda execucao. A sugestao gerada parecia plausivel, mas ignorava isolamento de estado. A autoridade precisava estar na evidencia empirica do pytest, no reset do banco e no mutation testing, nao na fluencia do codigo gerado.</w:t>
      </w:r>
    </w:p>
    <w:p>
      <w:pPr>
        <w:pStyle w:val="Heading1"/>
      </w:pPr>
      <w:r>
        <w:t>4. Position paper critico</w:t>
      </w:r>
    </w:p>
    <w:p>
      <w:pPr>
        <w:jc w:val="center"/>
      </w:pPr>
      <w:r>
        <w:rPr>
          <w:rFonts w:ascii="Times New Roman" w:hAnsi="Times New Roman"/>
          <w:b/>
          <w:sz w:val="28"/>
        </w:rPr>
        <w:t>A area Test Environment do TMMi precisa incorporar auditoria de IA para suites LLM-augmented</w:t>
      </w:r>
    </w:p>
    <w:p>
      <w:r>
        <w:rPr>
          <w:rFonts w:ascii="Times New Roman" w:hAnsi="Times New Roman"/>
          <w:sz w:val="24"/>
        </w:rPr>
        <w:t>A avaliacao de maturidade de testes ainda trata ambiente, planejamento e execucao como dimensoes majoritariamente humanas e deterministicas. Minha tese e que a area Test Environment do TMMi precisa ser reformulada para incluir uma subpratica explicita de auditoria de testes gerados por IA, pois suites LLM-augmented podem parecer maduras em volume e sintaxe, mas permanecer imaturas em isolamento de estado, arquitetura de execucao e capacidade de matar mutantes.</w:t>
      </w:r>
    </w:p>
    <w:p>
      <w:r>
        <w:rPr>
          <w:rFonts w:ascii="Times New Roman" w:hAnsi="Times New Roman"/>
          <w:sz w:val="24"/>
        </w:rPr>
        <w:t>A evidencia empirica do projeto internet_banking_tests sustenta essa tese. No Sprint 1, test_ia_gerado.py executava chamadas requests contra servidor externo e dependia do estado acumulado do banco; por isso, test_transferencia_saldo_igual_valor podia passar uma vez e falhar depois por saldo insuficiente. No Sprint 2, conftest.py corrigiu a fragilidade com fixture autouse e Flask test client. No Sprint 4, a suite ainda permitiu 52 mutantes sobreviventes entre 219, e no Sprint 5 os cenarios BDD reduziram esse numero para 35 ao transformar lacunas tecnicas em regras de negocio testaveis.</w:t>
      </w:r>
    </w:p>
    <w:p>
      <w:r>
        <w:rPr>
          <w:rFonts w:ascii="Times New Roman" w:hAnsi="Times New Roman"/>
          <w:sz w:val="24"/>
        </w:rPr>
        <w:t>Esses achados convergem com El Haji, Brandt e Zaidman (2024), que mostram baixa usabilidade dos testes Python gerados pelo Copilot e necessidade frequente de modificacao antes do uso direto. Tambem dialogam com Yuan et al. (2024), pois a avaliacao de testes gerados por LLM nao pode parar em compilacao ou aparencia: e preciso verificar comportamento, cobertura, oraculos e adequacao ao contexto. Minha experiencia acrescenta um ponto: mesmo quando o teste gerado passa, ele pode embutir uma premissa operacional errada, como banco persistente sem reset ou cliente HTTP externo em uma suite que deveria usar Flask test client.</w:t>
      </w:r>
    </w:p>
    <w:p>
      <w:r>
        <w:rPr>
          <w:rFonts w:ascii="Times New Roman" w:hAnsi="Times New Roman"/>
          <w:sz w:val="24"/>
        </w:rPr>
        <w:t>Proponho acrescentar ao TMMi uma pratica chamada AI-Augmented Test Audit dentro de Test Environment e Test Design and Execution. Essa pratica exigiria registrar a origem dos testes gerados por IA, revisar dependencias de ambiente, executar os testes duas vezes consecutivas, medir mutation score antes e depois da revisao humana, e justificar cada teste mantido por uma regra de negocio ou propriedade verificavel. No DORA, essa mesma preocupacao poderia aparecer como um AI Test Escape Rate: percentual de falhas, mutantes ou contraexemplos que escaparam de testes gerados por IA e foram detectados apenas por revisao posterior.</w:t>
      </w:r>
    </w:p>
    <w:p>
      <w:r>
        <w:rPr>
          <w:rFonts w:ascii="Times New Roman" w:hAnsi="Times New Roman"/>
          <w:sz w:val="24"/>
        </w:rPr>
        <w:t>O limite do argumento e que o projeto analisado e academico, pequeno e concentrado em uma API Flask com SQLite. Nao ha equipe real, producao real, incidentes reais nem historico completo de commits preservado. Para sustentar a tese com mais robustez, seria necessario comparar varias equipes, registrar prompts, commits, tempos reais de correcao, revisoes por pares e resultados de mutation testing em sistemas financeiros maiores. Ainda assim, o caso mostra que maturidade em testes na era LLM nao pode ser medida apenas por quantidade de testes: precisa medir governanca sobre a origem, o contexto e a capacidade detectora desses testes.</w:t>
      </w:r>
    </w:p>
    <w:p>
      <w:pPr>
        <w:pStyle w:val="Heading2"/>
      </w:pPr>
      <w:r>
        <w:t>Referencias do position paper</w:t>
      </w:r>
    </w:p>
    <w:p>
      <w:pPr>
        <w:spacing w:line="276" w:lineRule="auto"/>
        <w:ind w:left="504" w:hanging="504"/>
      </w:pPr>
      <w:r>
        <w:rPr>
          <w:rFonts w:ascii="Times New Roman" w:hAnsi="Times New Roman"/>
          <w:sz w:val="21"/>
        </w:rPr>
        <w:t>DORA / GOOGLE CLOUD. Accelerate State of DevOps Report 2024. Google Cloud, 2024. Disponivel em: https://dora.dev/research/2024/dora-report/. Acesso em: jun. 2026.</w:t>
      </w:r>
    </w:p>
    <w:p>
      <w:pPr>
        <w:spacing w:line="276" w:lineRule="auto"/>
        <w:ind w:left="504" w:hanging="504"/>
      </w:pPr>
      <w:r>
        <w:rPr>
          <w:rFonts w:ascii="Times New Roman" w:hAnsi="Times New Roman"/>
          <w:sz w:val="21"/>
        </w:rPr>
        <w:t>EL HAJI, K.; BRANDT, C.; ZAIDMAN, A. Using GitHub Copilot for Test Generation in Python: An Empirical Study. In: ACM/IEEE INTERNATIONAL CONFERENCE ON AUTOMATION OF SOFTWARE TEST, 5., 2024, Lisbon. Proceedings... New York: ACM, 2024. p. 45-55. DOI: 10.1145/3644032.3644443.</w:t>
      </w:r>
    </w:p>
    <w:p>
      <w:pPr>
        <w:spacing w:line="276" w:lineRule="auto"/>
        <w:ind w:left="504" w:hanging="504"/>
      </w:pPr>
      <w:r>
        <w:rPr>
          <w:rFonts w:ascii="Times New Roman" w:hAnsi="Times New Roman"/>
          <w:sz w:val="21"/>
        </w:rPr>
        <w:t>LI, Y. et al. Evaluating large language models for software testing. Computer Standards &amp; Interfaces, v. 93, 103942, 2025. DOI: 10.1016/j.csi.2024.103942.</w:t>
      </w:r>
    </w:p>
    <w:p>
      <w:pPr>
        <w:spacing w:line="276" w:lineRule="auto"/>
        <w:ind w:left="504" w:hanging="504"/>
      </w:pPr>
      <w:r>
        <w:rPr>
          <w:rFonts w:ascii="Times New Roman" w:hAnsi="Times New Roman"/>
          <w:sz w:val="21"/>
        </w:rPr>
        <w:t>TMMi FOUNDATION. TMMi Framework: Release 1.2. TMMi Foundation, 2018. Disponivel em: https://www.tmmi.org/tmmi-framework/. Acesso em: jun. 2026.</w:t>
      </w:r>
    </w:p>
    <w:p>
      <w:pPr>
        <w:spacing w:line="276" w:lineRule="auto"/>
        <w:ind w:left="504" w:hanging="504"/>
      </w:pPr>
      <w:r>
        <w:rPr>
          <w:rFonts w:ascii="Times New Roman" w:hAnsi="Times New Roman"/>
          <w:sz w:val="21"/>
        </w:rPr>
        <w:t>VAN VEENENDAAL, E. Test Maturity Model integration (TMMi): Test Maturity in the Financial Domain. American Journal of Computer Science and Technology, v. 7, n. 2, 2024. DOI: 10.11648/j.ajcst.20240702.13.</w:t>
      </w:r>
    </w:p>
    <w:p>
      <w:pPr>
        <w:spacing w:line="276" w:lineRule="auto"/>
        <w:ind w:left="504" w:hanging="504"/>
      </w:pPr>
      <w:r>
        <w:rPr>
          <w:rFonts w:ascii="Times New Roman" w:hAnsi="Times New Roman"/>
          <w:sz w:val="21"/>
        </w:rPr>
        <w:t>YUAN, Z. et al. Evaluating and Improving ChatGPT for Unit Test Generation. Proceedings of the ACM on Software Engineering, v. 1, n. FSE, 2024. DOI: 10.1145/3660783.</w:t>
      </w:r>
    </w:p>
    <w:p>
      <w:pPr>
        <w:pStyle w:val="Heading1"/>
      </w:pPr>
      <w:r>
        <w:t>5. Sintese epistemologica</w:t>
      </w:r>
    </w:p>
    <w:p>
      <w:r>
        <w:rPr>
          <w:rFonts w:ascii="Times New Roman" w:hAnsi="Times New Roman"/>
          <w:sz w:val="24"/>
        </w:rPr>
        <w:t>a) Saber o nome do que produzi, no Sprint 6, foi classificar artefatos na taxonomia BSTQB; saber o nivel de maturidade, no Sprint 7, foi avaliar se esses artefatos formam um processo sustentavel, medido e comparavel.</w:t>
      </w:r>
    </w:p>
    <w:p>
      <w:r>
        <w:rPr>
          <w:rFonts w:ascii="Times New Roman" w:hAnsi="Times New Roman"/>
          <w:sz w:val="24"/>
        </w:rPr>
        <w:t>b) O numero DORA que mais surpreendeu foi o Change Failure Rate de 23,7%, porque ele mostrou que uma suite com testes verdes ainda deixava quase um quarto dos mutantes escapar no Sprint 4.</w:t>
      </w:r>
    </w:p>
    <w:p>
      <w:r>
        <w:rPr>
          <w:rFonts w:ascii="Times New Roman" w:hAnsi="Times New Roman"/>
          <w:sz w:val="24"/>
        </w:rPr>
        <w:t>c) Minha tese e que modelos de maturidade precisam medir auditoria de IA, pois testes LLM-augmented so amadurecem quando sao confrontados com ambiente controlado, execucao repetida e mutation testing.</w:t>
      </w:r>
    </w:p>
    <w:p>
      <w:pPr>
        <w:pStyle w:val="Heading1"/>
      </w:pPr>
      <w:r>
        <w:t>6. Referencias bibliograficas</w:t>
      </w:r>
    </w:p>
    <w:p>
      <w:pPr>
        <w:spacing w:line="276" w:lineRule="auto"/>
        <w:ind w:left="504" w:hanging="504"/>
      </w:pPr>
      <w:r>
        <w:rPr>
          <w:rFonts w:ascii="Times New Roman" w:hAnsi="Times New Roman"/>
          <w:sz w:val="21"/>
        </w:rPr>
        <w:t>DORA / GOOGLE CLOUD. Accelerate State of DevOps Report 2024. Google Cloud, 2024. Disponivel em: https://dora.dev/research/2024/dora-report/. Acesso em: jun. 2026.</w:t>
      </w:r>
    </w:p>
    <w:p>
      <w:pPr>
        <w:spacing w:line="276" w:lineRule="auto"/>
        <w:ind w:left="504" w:hanging="504"/>
      </w:pPr>
      <w:r>
        <w:rPr>
          <w:rFonts w:ascii="Times New Roman" w:hAnsi="Times New Roman"/>
          <w:sz w:val="21"/>
        </w:rPr>
        <w:t>EL HAJI, K.; BRANDT, C.; ZAIDMAN, A. Using GitHub Copilot for Test Generation in Python: An Empirical Study. In: ACM/IEEE INTERNATIONAL CONFERENCE ON AUTOMATION OF SOFTWARE TEST, 5., 2024, Lisbon. Proceedings... New York: ACM, 2024. p. 45-55. DOI: 10.1145/3644032.3644443.</w:t>
      </w:r>
    </w:p>
    <w:p>
      <w:pPr>
        <w:spacing w:line="276" w:lineRule="auto"/>
        <w:ind w:left="504" w:hanging="504"/>
      </w:pPr>
      <w:r>
        <w:rPr>
          <w:rFonts w:ascii="Times New Roman" w:hAnsi="Times New Roman"/>
          <w:sz w:val="21"/>
        </w:rPr>
        <w:t>LI, Y. et al. Evaluating large language models for software testing. Computer Standards &amp; Interfaces, v. 93, 103942, 2025. DOI: 10.1016/j.csi.2024.103942.</w:t>
      </w:r>
    </w:p>
    <w:p>
      <w:pPr>
        <w:spacing w:line="276" w:lineRule="auto"/>
        <w:ind w:left="504" w:hanging="504"/>
      </w:pPr>
      <w:r>
        <w:rPr>
          <w:rFonts w:ascii="Times New Roman" w:hAnsi="Times New Roman"/>
          <w:sz w:val="21"/>
        </w:rPr>
        <w:t>TMMi FOUNDATION. TMMi Framework: Release 1.2. TMMi Foundation, 2018. Disponivel em: https://www.tmmi.org/tmmi-framework/. Acesso em: jun. 2026.</w:t>
      </w:r>
    </w:p>
    <w:p>
      <w:pPr>
        <w:spacing w:line="276" w:lineRule="auto"/>
        <w:ind w:left="504" w:hanging="504"/>
      </w:pPr>
      <w:r>
        <w:rPr>
          <w:rFonts w:ascii="Times New Roman" w:hAnsi="Times New Roman"/>
          <w:sz w:val="21"/>
        </w:rPr>
        <w:t>VAN VEENENDAAL, E. Test Maturity Model integration (TMMi): Test Maturity in the Financial Domain. American Journal of Computer Science and Technology, v. 7, n. 2, 2024. DOI: 10.11648/j.ajcst.20240702.13.</w:t>
      </w:r>
    </w:p>
    <w:p>
      <w:pPr>
        <w:spacing w:line="276" w:lineRule="auto"/>
        <w:ind w:left="504" w:hanging="504"/>
      </w:pPr>
      <w:r>
        <w:rPr>
          <w:rFonts w:ascii="Times New Roman" w:hAnsi="Times New Roman"/>
          <w:sz w:val="21"/>
        </w:rPr>
        <w:t>YUAN, Z. et al. Evaluating and Improving ChatGPT for Unit Test Generation. Proceedings of the ACM on Software Engineering, v. 1, n. FSE, 2024. DOI: 10.1145/3660783.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A5A5A"/>
        <w:sz w:val="20"/>
      </w:rPr>
      <w:t xml:space="preserve">Pagina </w:t>
    </w:r>
    <w:r>
      <w:rPr>
        <w:rFonts w:ascii="Times New Roman" w:hAnsi="Times New Roman"/>
        <w:color w:val="5A5A5A"/>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color w:val="5A5A5A"/>
        <w:sz w:val="20"/>
      </w:rPr>
      <w:t>Teste de Software | Sprint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