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REQUIREMENT DOCUMENT (BRD)</w:t>
      </w:r>
    </w:p>
    <w:p>
      <w:pPr>
        <w:pStyle w:val="Heading1"/>
      </w:pPr>
      <w:r>
        <w:t>Health Predict AI — Intelligent Multi-Symptom Diagnostic System</w:t>
      </w:r>
    </w:p>
    <w:p>
      <w:r>
        <w:rPr>
          <w:b/>
        </w:rPr>
        <w:t xml:space="preserve">Project Classification: </w:t>
      </w:r>
      <w:r>
        <w:t>Business Requirement Document (BRD) v1.0</w:t>
        <w:br/>
      </w:r>
      <w:r>
        <w:rPr>
          <w:b/>
        </w:rPr>
        <w:t xml:space="preserve">Author &amp; Business Owner: </w:t>
      </w:r>
      <w:r>
        <w:t>Prateek Shukla (Roll No: 2400320100828)</w:t>
        <w:br/>
      </w:r>
      <w:r>
        <w:rPr>
          <w:b/>
        </w:rPr>
        <w:t xml:space="preserve">Academic Specialization: </w:t>
      </w:r>
      <w:r>
        <w:t>B.Tech in Computer Science &amp; Engineering</w:t>
        <w:br/>
      </w:r>
      <w:r>
        <w:rPr>
          <w:b/>
        </w:rPr>
        <w:t xml:space="preserve">Academic Year: </w:t>
      </w:r>
      <w:r>
        <w:t>2026 – 2027</w:t>
        <w:br/>
      </w:r>
      <w:r>
        <w:rPr>
          <w:b/>
        </w:rPr>
        <w:t xml:space="preserve">Status: </w:t>
      </w:r>
      <w:r>
        <w:t>Approved / Baseline Document</w:t>
      </w:r>
    </w:p>
    <w:p>
      <w:pPr>
        <w:pStyle w:val="Heading1"/>
      </w:pPr>
      <w:r>
        <w:t>1. Executive Summary</w:t>
      </w:r>
    </w:p>
    <w:p>
      <w:r>
        <w:t>Healthcare systems globally face severe strain due to inefficient preliminary triage, delayed chronic condition diagnosis, and non-emergency overcrowding in urgent care clinics. Health Predict AI introduces an automated, non-invasive, AI-assisted business solution that correlates 132 validated patient symptoms against 41 medical conditions in under 50 milliseconds, requiring zero numeric lab measurements.</w:t>
      </w:r>
    </w:p>
    <w:p>
      <w:pPr>
        <w:pStyle w:val="Heading1"/>
      </w:pPr>
      <w:r>
        <w:t>2. Business Objectives &amp; Strategic Alignment</w:t>
      </w:r>
    </w:p>
    <w:p>
      <w:r>
        <w:t>1. Universal Healthcare Accessibility: Deliver preliminary screening on commodity browsers without geographical or financial barriers.</w:t>
        <w:br/>
        <w:t>2. Operational Efficiency in Primary Care: Streamline clinical intake queues by prioritizing consultations based on urgency tiers.</w:t>
        <w:br/>
        <w:t>3. Reduction of Avoidable ER Visits: Direct users with self-limiting conditions to structured home-care protocols.</w:t>
      </w:r>
    </w:p>
    <w:p>
      <w:pPr>
        <w:pStyle w:val="Heading1"/>
      </w:pPr>
      <w:r>
        <w:t>3. Current State (AS-IS) vs. Future State (TO-BE)</w:t>
      </w:r>
    </w:p>
    <w:p>
      <w:r>
        <w:t>• AS-IS: Patients use generic Google searches leading to anxiety ("cyberchondria") or avoid early diagnosis due to lack of home lab equipment.</w:t>
        <w:br/>
        <w:t>• TO-BE: Patients use Health Predict AI for rapid, ranked probabilistic assessments with clear triggering biomarkers and 4-step medical precautions.</w:t>
      </w:r>
    </w:p>
    <w:p>
      <w:pPr>
        <w:pStyle w:val="Heading1"/>
      </w:pPr>
      <w:r>
        <w:t>4. Stakeholder RACI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Project Function</w:t>
            </w:r>
          </w:p>
        </w:tc>
        <w:tc>
          <w:tcPr>
            <w:tcW w:type="dxa" w:w="1728"/>
          </w:tcPr>
          <w:p>
            <w:r>
              <w:t>Patient</w:t>
            </w:r>
          </w:p>
        </w:tc>
        <w:tc>
          <w:tcPr>
            <w:tcW w:type="dxa" w:w="1728"/>
          </w:tcPr>
          <w:p>
            <w:r>
              <w:t>Triage Nurse</w:t>
            </w:r>
          </w:p>
        </w:tc>
        <w:tc>
          <w:tcPr>
            <w:tcW w:type="dxa" w:w="1728"/>
          </w:tcPr>
          <w:p>
            <w:r>
              <w:t>Prateek Shukla (Lead)</w:t>
            </w:r>
          </w:p>
        </w:tc>
        <w:tc>
          <w:tcPr>
            <w:tcW w:type="dxa" w:w="1728"/>
          </w:tcPr>
          <w:p>
            <w:r>
              <w:t>Academic Guide</w:t>
            </w:r>
          </w:p>
        </w:tc>
      </w:tr>
      <w:tr>
        <w:tc>
          <w:tcPr>
            <w:tcW w:type="dxa" w:w="1728"/>
          </w:tcPr>
          <w:p>
            <w:r>
              <w:t>Business Requirements Formulation</w:t>
            </w:r>
          </w:p>
        </w:tc>
        <w:tc>
          <w:tcPr>
            <w:tcW w:type="dxa" w:w="1728"/>
          </w:tcPr>
          <w:p>
            <w:r>
              <w:t>Consulted</w:t>
            </w:r>
          </w:p>
        </w:tc>
        <w:tc>
          <w:tcPr>
            <w:tcW w:type="dxa" w:w="1728"/>
          </w:tcPr>
          <w:p>
            <w:r>
              <w:t>Consulted</w:t>
            </w:r>
          </w:p>
        </w:tc>
        <w:tc>
          <w:tcPr>
            <w:tcW w:type="dxa" w:w="1728"/>
          </w:tcPr>
          <w:p>
            <w:r>
              <w:t>Responsible / Accountable</w:t>
            </w:r>
          </w:p>
        </w:tc>
        <w:tc>
          <w:tcPr>
            <w:tcW w:type="dxa" w:w="1728"/>
          </w:tcPr>
          <w:p>
            <w:r>
              <w:t>Informed</w:t>
            </w:r>
          </w:p>
        </w:tc>
      </w:tr>
      <w:tr>
        <w:tc>
          <w:tcPr>
            <w:tcW w:type="dxa" w:w="1728"/>
          </w:tcPr>
          <w:p>
            <w:r>
              <w:t>Model Ingestion &amp; Training</w:t>
            </w:r>
          </w:p>
        </w:tc>
        <w:tc>
          <w:tcPr>
            <w:tcW w:type="dxa" w:w="1728"/>
          </w:tcPr>
          <w:p>
            <w:r>
              <w:t>Informed</w:t>
            </w:r>
          </w:p>
        </w:tc>
        <w:tc>
          <w:tcPr>
            <w:tcW w:type="dxa" w:w="1728"/>
          </w:tcPr>
          <w:p>
            <w:r>
              <w:t>Informed</w:t>
            </w:r>
          </w:p>
        </w:tc>
        <w:tc>
          <w:tcPr>
            <w:tcW w:type="dxa" w:w="1728"/>
          </w:tcPr>
          <w:p>
            <w:r>
              <w:t>Responsible / Accountable</w:t>
            </w:r>
          </w:p>
        </w:tc>
        <w:tc>
          <w:tcPr>
            <w:tcW w:type="dxa" w:w="1728"/>
          </w:tcPr>
          <w:p>
            <w:r>
              <w:t>Consulted</w:t>
            </w:r>
          </w:p>
        </w:tc>
      </w:tr>
      <w:tr>
        <w:tc>
          <w:tcPr>
            <w:tcW w:type="dxa" w:w="1728"/>
          </w:tcPr>
          <w:p>
            <w:r>
              <w:t>UI/UX Glassmorphic Engineering</w:t>
            </w:r>
          </w:p>
        </w:tc>
        <w:tc>
          <w:tcPr>
            <w:tcW w:type="dxa" w:w="1728"/>
          </w:tcPr>
          <w:p>
            <w:r>
              <w:t>Consulted</w:t>
            </w:r>
          </w:p>
        </w:tc>
        <w:tc>
          <w:tcPr>
            <w:tcW w:type="dxa" w:w="1728"/>
          </w:tcPr>
          <w:p>
            <w:r>
              <w:t>Informed</w:t>
            </w:r>
          </w:p>
        </w:tc>
        <w:tc>
          <w:tcPr>
            <w:tcW w:type="dxa" w:w="1728"/>
          </w:tcPr>
          <w:p>
            <w:r>
              <w:t>Responsible / Accountable</w:t>
            </w:r>
          </w:p>
        </w:tc>
        <w:tc>
          <w:tcPr>
            <w:tcW w:type="dxa" w:w="1728"/>
          </w:tcPr>
          <w:p>
            <w:r>
              <w:t>Informed</w:t>
            </w:r>
          </w:p>
        </w:tc>
      </w:tr>
      <w:tr>
        <w:tc>
          <w:tcPr>
            <w:tcW w:type="dxa" w:w="1728"/>
          </w:tcPr>
          <w:p>
            <w:r>
              <w:t>Clinical Protocol Verification</w:t>
            </w:r>
          </w:p>
        </w:tc>
        <w:tc>
          <w:tcPr>
            <w:tcW w:type="dxa" w:w="1728"/>
          </w:tcPr>
          <w:p>
            <w:r>
              <w:t>Informed</w:t>
            </w:r>
          </w:p>
        </w:tc>
        <w:tc>
          <w:tcPr>
            <w:tcW w:type="dxa" w:w="1728"/>
          </w:tcPr>
          <w:p>
            <w:r>
              <w:t>Consulted</w:t>
            </w:r>
          </w:p>
        </w:tc>
        <w:tc>
          <w:tcPr>
            <w:tcW w:type="dxa" w:w="1728"/>
          </w:tcPr>
          <w:p>
            <w:r>
              <w:t>Responsible</w:t>
            </w:r>
          </w:p>
        </w:tc>
        <w:tc>
          <w:tcPr>
            <w:tcW w:type="dxa" w:w="1728"/>
          </w:tcPr>
          <w:p>
            <w:r>
              <w:t>Accountable</w:t>
            </w:r>
          </w:p>
        </w:tc>
      </w:tr>
      <w:tr>
        <w:tc>
          <w:tcPr>
            <w:tcW w:type="dxa" w:w="1728"/>
          </w:tcPr>
          <w:p>
            <w:r>
              <w:t>Academic Review &amp; Sign-Off</w:t>
            </w:r>
          </w:p>
        </w:tc>
        <w:tc>
          <w:tcPr>
            <w:tcW w:type="dxa" w:w="1728"/>
          </w:tcPr>
          <w:p>
            <w:r>
              <w:t>Informed</w:t>
            </w:r>
          </w:p>
        </w:tc>
        <w:tc>
          <w:tcPr>
            <w:tcW w:type="dxa" w:w="1728"/>
          </w:tcPr>
          <w:p>
            <w:r>
              <w:t>Informed</w:t>
            </w:r>
          </w:p>
        </w:tc>
        <w:tc>
          <w:tcPr>
            <w:tcW w:type="dxa" w:w="1728"/>
          </w:tcPr>
          <w:p>
            <w:r>
              <w:t>Responsible</w:t>
            </w:r>
          </w:p>
        </w:tc>
        <w:tc>
          <w:tcPr>
            <w:tcW w:type="dxa" w:w="1728"/>
          </w:tcPr>
          <w:p>
            <w:r>
              <w:t>Accountable</w:t>
            </w:r>
          </w:p>
        </w:tc>
      </w:tr>
    </w:tbl>
    <w:p>
      <w:pPr>
        <w:pStyle w:val="Heading1"/>
      </w:pPr>
      <w:r>
        <w:t>5. High-Level Business Rules (BR)</w:t>
      </w:r>
    </w:p>
    <w:p>
      <w:r>
        <w:t>• BR-01 (Zero Numeric Barrier): The system must never require numeric metrics (e.g. mmHg, BMI). All logic evaluates pure symptoms.</w:t>
        <w:br/>
        <w:t>• BR-02 (Mandatory Disclaimer): Persistent notice that the system is an educational decision-support tool, not a prescription.</w:t>
        <w:br/>
        <w:t>• BR-03 (Emergency Escalation): Highlight emergency hotline badges (112 / 911) for acute conditions.</w:t>
        <w:br/>
        <w:t>• BR-04 (Data Privacy): Zero persistent logging of personally identifiable information (PII).</w:t>
      </w:r>
    </w:p>
    <w:p>
      <w:pPr>
        <w:pStyle w:val="Heading1"/>
      </w:pPr>
      <w:r>
        <w:t>6. Cost-Benefit Analysis &amp; ROI</w:t>
      </w:r>
    </w:p>
    <w:p>
      <w:r>
        <w:t>• Total Software Licensing Cost: $0.00 (100% Open-Source Python Stack)</w:t>
        <w:br/>
        <w:t>• Specialized Hardware Cost: $0.00 (Executes on standard commodity browsers)</w:t>
        <w:br/>
        <w:t>• Infrastructure Cost: $0.00 (Local CPU execution / Free cloud hosting tiers)</w:t>
        <w:br/>
        <w:t>• Total Implementation Cost: $0.00 vs. $18,000+ for commercial hospital triage systems.</w:t>
      </w:r>
    </w:p>
    <w:p>
      <w:pPr>
        <w:pStyle w:val="Heading1"/>
      </w:pPr>
      <w:r>
        <w:t>7. Executive Sign-Off</w:t>
      </w:r>
    </w:p>
    <w:p>
      <w:r>
        <w:t>Project Lead: Prateek Shukla (Roll No: 2400320100828)</w:t>
        <w:br/>
        <w:t>Signature: ______________________ Date: 01-Oct-2026</w:t>
        <w:br/>
        <w:br/>
        <w:t>Academic Supervisor / HOD:</w:t>
        <w:br/>
        <w:t>Signature: ______________________ Date: 01-Oct-2026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