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0F4F45">
      <w:pPr>
        <w:pStyle w:val="style0"/>
        <w:spacing w:before="800"/>
        <w:rPr/>
      </w:pPr>
    </w:p>
    <w:p w14:paraId="FB0327A1">
      <w:pPr>
        <w:pStyle w:val="style0"/>
        <w:spacing w:after="720"/>
        <w:jc w:val="center"/>
        <w:rPr/>
      </w:pPr>
      <w:r>
        <w:t>&lt;DEPARTMENT OF COMPUTER SCIENCE &amp; ENGINEERING&gt;</w:t>
        <w:br/>
        <w:t>&lt;NAME OF INSTITUTE / UNIVERSITY, CITY&gt;</w:t>
      </w:r>
    </w:p>
    <w:p w14:paraId="AFCE6E0D">
      <w:pPr>
        <w:pStyle w:val="style0"/>
        <w:spacing w:after="240"/>
        <w:jc w:val="center"/>
        <w:rPr/>
      </w:pPr>
      <w:r>
        <w:rPr>
          <w:rFonts w:ascii="Arial" w:hAnsi="Arial"/>
          <w:b/>
          <w:color w:val="1b365d"/>
          <w:sz w:val="48"/>
        </w:rPr>
        <w:t>SOFTWARE REQUIREMENTS</w:t>
      </w:r>
      <w:r>
        <w:rPr>
          <w:rFonts w:ascii="Arial" w:hAnsi="Arial"/>
          <w:b/>
          <w:color w:val="1b365d"/>
          <w:sz w:val="48"/>
        </w:rPr>
        <w:br/>
      </w:r>
      <w:r>
        <w:rPr>
          <w:rFonts w:ascii="Arial" w:hAnsi="Arial"/>
          <w:b/>
          <w:color w:val="1b365d"/>
          <w:sz w:val="48"/>
        </w:rPr>
        <w:t>SPECIFICATION (SRS)</w:t>
      </w:r>
    </w:p>
    <w:p w14:paraId="5A8DC5FF">
      <w:pPr>
        <w:pStyle w:val="style0"/>
        <w:spacing w:after="960"/>
        <w:jc w:val="center"/>
        <w:rPr/>
      </w:pPr>
      <w:r>
        <w:t>Project Title: Health Predict AI — Intelligent Multi-Symptom Disease Prediction System</w:t>
        <w:br/>
        <w:t>Standard Academic Compliance: IEEE Std 830-1998</w:t>
      </w:r>
    </w:p>
    <w:p w14:paraId="0A9065EA">
      <w:pPr>
        <w:pStyle w:val="style0"/>
        <w:spacing w:after="800"/>
        <w:jc w:val="center"/>
        <w:rPr/>
      </w:pPr>
      <w:r>
        <w:rPr>
          <w:color w:val="b4becd"/>
        </w:rPr>
        <w:t>————————————————————————————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14:paraId="AB14604D">
        <w:trPr>
          <w:jc w:val="center"/>
        </w:trPr>
        <w:tc>
          <w:tcPr>
            <w:tcW w:w="4608" w:type="dxa"/>
            <w:tcBorders/>
          </w:tcPr>
          <w:p>
            <w:r>
              <w:t>SUBMITTED BY:</w:t>
              <w:br/>
              <w:t>Prateek Shukla (Roll No: 2400320100828)</w:t>
              <w:br/>
              <w:br/>
              <w:t>Degree: Bachelor of Technology (B.Tech in CSE)</w:t>
              <w:br/>
              <w:t>Academic Year: 2026 - 2027</w:t>
            </w:r>
          </w:p>
        </w:tc>
        <w:tc>
          <w:tcPr>
            <w:tcW w:w="4752" w:type="dxa"/>
            <w:tcBorders/>
          </w:tcPr>
          <w:p>
            <w:r>
              <w:t>UNDER THE GUIDANCE OF:</w:t>
              <w:br/>
              <w:t>Prof. / Dr. &lt;Supervisor Name&gt;</w:t>
              <w:br/>
              <w:t>&lt;Designation / Title&gt;</w:t>
              <w:br/>
              <w:t>Department of Computer Science &amp; Engg.</w:t>
              <w:br/>
              <w:br/>
              <w:t>Status: 3rd Year Project Specification</w:t>
              <w:br/>
              <w:t>Date of Submission: October 2026</w:t>
            </w:r>
          </w:p>
        </w:tc>
      </w:tr>
    </w:tbl>
    <w:p w14:paraId="493EE50B">
      <w:pPr>
        <w:pStyle w:val="style0"/>
        <w:rPr/>
      </w:pPr>
      <w:r>
        <w:br w:type="page"/>
      </w:r>
    </w:p>
    <w:p w14:paraId="3C4FB85E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Document Revision &amp; Approval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728"/>
        <w:gridCol w:w="1728"/>
      </w:tblGrid>
      <w:tr w14:paraId="F4F0815C">
        <w:trPr>
          <w:jc w:val="center"/>
        </w:trPr>
        <w:tc>
          <w:tcPr>
            <w:tcW w:w="1152" w:type="dxa"/>
            <w:tcBorders/>
            <w:shd w:val="nil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E13A133B">
            <w:pPr>
              <w:pStyle w:val="style0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w="1584" w:type="dxa"/>
            <w:tcBorders/>
            <w:shd w:val="nil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BB87">
            <w:pPr>
              <w:pStyle w:val="style0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3168" w:type="dxa"/>
            <w:tcBorders/>
            <w:shd w:val="nil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E457">
            <w:pPr>
              <w:pStyle w:val="style0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Description / Major Changes</w:t>
            </w:r>
          </w:p>
        </w:tc>
        <w:tc>
          <w:tcPr>
            <w:tcW w:w="1728" w:type="dxa"/>
            <w:tcBorders/>
            <w:shd w:val="nil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8766">
            <w:pPr>
              <w:pStyle w:val="style0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w="1728" w:type="dxa"/>
            <w:tcBorders/>
            <w:shd w:val="nil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7122">
            <w:pPr>
              <w:pStyle w:val="style0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Reviewed By</w:t>
            </w:r>
          </w:p>
        </w:tc>
      </w:tr>
      <w:tr w14:paraId="77D15904">
        <w:tblPrEx/>
        <w:trPr>
          <w:jc w:val="center"/>
        </w:trPr>
        <w:tc>
          <w:tcPr>
            <w:tcW w:w="115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0.1</w:t>
            </w:r>
          </w:p>
        </w:tc>
        <w:tc>
          <w:tcPr>
            <w:tcW w:w="158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15-Sep-2026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Initial Problem Formulation &amp; Metric Exploration</w:t>
            </w:r>
          </w:p>
        </w:tc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Project Team</w:t>
            </w:r>
          </w:p>
        </w:tc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Project Guide</w:t>
            </w:r>
          </w:p>
        </w:tc>
      </w:tr>
      <w:tr w14:paraId="309386E3">
        <w:tblPrEx/>
        <w:trPr>
          <w:jc w:val="center"/>
        </w:trPr>
        <w:tc>
          <w:tcPr>
            <w:tcW w:w="115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1.0</w:t>
            </w:r>
          </w:p>
        </w:tc>
        <w:tc>
          <w:tcPr>
            <w:tcW w:w="1584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01-Oct-2026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Final 3rd Year SRS Baseline: Symptom-Based Naive Bayes Architecture &amp; Glassmorphic UI</w:t>
            </w:r>
          </w:p>
        </w:tc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Project Team</w:t>
            </w:r>
          </w:p>
        </w:tc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HOD / Committee</w:t>
            </w:r>
          </w:p>
        </w:tc>
      </w:tr>
    </w:tbl>
    <w:p w14:paraId="B4EA4E38">
      <w:pPr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14:paraId="EDD9E81A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shd w:val="nil" w:color="auto" w:fill="f4f6f9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DB8B99BF">
            <w:pPr>
              <w:pStyle w:val="style0"/>
              <w:spacing w:before="40" w:after="40" w:lineRule="auto" w:line="276"/>
              <w:rPr/>
            </w:pPr>
            <w:r>
              <w:rPr>
                <w:rFonts w:ascii="Arial" w:hAnsi="Arial"/>
                <w:b/>
                <w:color w:val="2b2d42"/>
                <w:sz w:val="20"/>
              </w:rPr>
              <w:t xml:space="preserve">Guidance Note: </w:t>
            </w:r>
            <w:r>
              <w:rPr>
                <w:rFonts w:ascii="Arial" w:hAnsi="Arial"/>
                <w:color w:val="2b2d42"/>
                <w:sz w:val="20"/>
              </w:rPr>
              <w:t>This Software Requirements Specification document conforms to the IEEE 830-1998 standard recommended practice. All sections are strictly designed for 3rd-year university lab evaluation, project reviews, and system design baselines.</w:t>
            </w:r>
          </w:p>
        </w:tc>
      </w:tr>
    </w:tbl>
    <w:p w14:paraId="E0E94B8C">
      <w:pPr>
        <w:pStyle w:val="style0"/>
        <w:spacing w:after="40"/>
        <w:rPr/>
      </w:pPr>
    </w:p>
    <w:p w14:paraId="C3650B36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1. Introduction</w:t>
      </w:r>
    </w:p>
    <w:p w14:paraId="7856551A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1.1 Purpose</w:t>
      </w:r>
    </w:p>
    <w:p w14:paraId="A189071E">
      <w:pPr>
        <w:pStyle w:val="style0"/>
        <w:rPr/>
      </w:pPr>
      <w:r>
        <w:t>The purpose of this Software Requirements Specification (SRS) document is to provide a complete, rigorous, and unambiguous specification of the requirements, system architecture, interfaces, and constraints for 'Health Predict AI'. This system serves as an automated clinical decision-support tool designed to correlate physical and biological symptoms with probable pathologies. This specification is submitted in fulfillment of the 3rd-year Bachelor of Technology (B.Tech) Project Evaluation in the Department of Computer Science &amp; Engineering.</w:t>
      </w:r>
    </w:p>
    <w:p w14:paraId="6A4CB1E2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1.2 Scope of the System</w:t>
      </w:r>
    </w:p>
    <w:p w14:paraId="85F58075">
      <w:pPr>
        <w:pStyle w:val="style0"/>
        <w:rPr/>
      </w:pPr>
      <w:r>
        <w:t>The proposed system is designed to address the critical challenge of preliminary healthcare screening by providing immediate, non-invasive, symptom-driven disease diagnosis without requiring patients to enter complex or unavailable numeric laboratory metrics (such as blood pressure in mmHg, fasting glucose, or BMI).</w:t>
      </w:r>
    </w:p>
    <w:p w14:paraId="424BE460">
      <w:pPr>
        <w:pStyle w:val="style48"/>
        <w:rPr/>
      </w:pPr>
      <w:r>
        <w:t>In-Scope Capabilities: Dynamic type-ahead search across 132 validated clinical symptoms, one-click preset emergency test scenarios, sparse binary vector transformation, probabilistic multi-class inference using Multinomial Naive Bayes (MNB) across 41 conditions, triggering biomarker identification, automated clinical interpretation, structured 4-step medical protocols, and differential diagnosis probability spectrum visualization via a glassmorphic Streamlit interface.</w:t>
      </w:r>
    </w:p>
    <w:p w14:paraId="066FB973">
      <w:pPr>
        <w:pStyle w:val="style48"/>
        <w:rPr/>
      </w:pPr>
      <w:r>
        <w:t>Out-of-Scope Boundaries: Invasive robotic surgery interfacing, prescription medicine dispensing without licensed physician authorization, and commercial billing/payment gateway processing.</w:t>
      </w:r>
    </w:p>
    <w:p w14:paraId="655F29A0">
      <w:pPr>
        <w:pStyle w:val="style48"/>
        <w:rPr/>
      </w:pPr>
      <w:r>
        <w:t>Expected Benefits: Immediate triage within &lt; 50 milliseconds, zero mathematical or laboratory testing burden on lay users, reduced hospital congestion by guiding patients to appropriate care urgency tiers, and 100% benchmark consistency on clinical validation data.</w:t>
      </w:r>
    </w:p>
    <w:p w14:paraId="FC0841CE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1.3 Definitions, Acronyms, and Abbreviations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BF576D87">
        <w:trPr>
          <w:jc w:val="center"/>
        </w:trPr>
        <w:tc>
          <w:tcPr>
            <w:tcW w:w="1728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BF9402F2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016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E6C3237B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w="5616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A9B56815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Definition / Standard Context</w:t>
            </w:r>
          </w:p>
        </w:tc>
      </w:tr>
      <w:tr w14:paraId="55FA6FEB">
        <w:tblPrEx/>
        <w:trPr>
          <w:jc w:val="center"/>
        </w:trPr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Standard</w:t>
            </w:r>
          </w:p>
        </w:tc>
        <w:tc>
          <w:tcPr>
            <w:tcW w:w="20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SRS</w:t>
            </w:r>
          </w:p>
        </w:tc>
        <w:tc>
          <w:tcPr>
            <w:tcW w:w="56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Software Requirements Specification (IEEE Std 830-1998 format).</w:t>
            </w:r>
          </w:p>
        </w:tc>
      </w:tr>
      <w:tr w14:paraId="B95BBC18">
        <w:tblPrEx/>
        <w:trPr>
          <w:jc w:val="center"/>
        </w:trPr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Machine Learning</w:t>
            </w:r>
          </w:p>
        </w:tc>
        <w:tc>
          <w:tcPr>
            <w:tcW w:w="20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MNB</w:t>
            </w:r>
          </w:p>
        </w:tc>
        <w:tc>
          <w:tcPr>
            <w:tcW w:w="56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Multinomial Naive Bayes classification algorithm with Laplace smoothing.</w:t>
            </w:r>
          </w:p>
        </w:tc>
      </w:tr>
      <w:tr w14:paraId="44537F93">
        <w:tblPrEx/>
        <w:trPr>
          <w:jc w:val="center"/>
        </w:trPr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Architecture</w:t>
            </w:r>
          </w:p>
        </w:tc>
        <w:tc>
          <w:tcPr>
            <w:tcW w:w="20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API / Framework</w:t>
            </w:r>
          </w:p>
        </w:tc>
        <w:tc>
          <w:tcPr>
            <w:tcW w:w="56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Streamlit reactive component model communicating over WebSockets.</w:t>
            </w:r>
          </w:p>
        </w:tc>
      </w:tr>
      <w:tr w14:paraId="FE2FD84F">
        <w:tblPrEx/>
        <w:trPr>
          <w:jc w:val="center"/>
        </w:trPr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Data Representation</w:t>
            </w:r>
          </w:p>
        </w:tc>
        <w:tc>
          <w:tcPr>
            <w:tcW w:w="20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Binary Feature Vector</w:t>
            </w:r>
          </w:p>
        </w:tc>
        <w:tc>
          <w:tcPr>
            <w:tcW w:w="56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132-element sparse binary array encoding presence (1) or absence (0) of symptoms.</w:t>
            </w:r>
          </w:p>
        </w:tc>
      </w:tr>
      <w:tr w14:paraId="C22413DC">
        <w:tblPrEx/>
        <w:trPr>
          <w:jc w:val="center"/>
        </w:trPr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UI/UX</w:t>
            </w:r>
          </w:p>
        </w:tc>
        <w:tc>
          <w:tcPr>
            <w:tcW w:w="20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Glassmorphism</w:t>
            </w:r>
          </w:p>
        </w:tc>
        <w:tc>
          <w:tcPr>
            <w:tcW w:w="561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Frosted-glass design pattern utilizing CSS backdrop-filter blur and gradient depth.</w:t>
            </w:r>
          </w:p>
        </w:tc>
      </w:tr>
      <w:tr w14:paraId="96FD8216">
        <w:tblPrEx/>
        <w:trPr>
          <w:jc w:val="center"/>
        </w:trPr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Clinical Domain</w:t>
            </w:r>
          </w:p>
        </w:tc>
        <w:tc>
          <w:tcPr>
            <w:tcW w:w="20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Biomarkers &amp; Pathology</w:t>
            </w:r>
          </w:p>
        </w:tc>
        <w:tc>
          <w:tcPr>
            <w:tcW w:w="561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132 physiological signs mapped to 41 distinct ICD-relevant medical disease categories.</w:t>
            </w:r>
          </w:p>
        </w:tc>
      </w:tr>
    </w:tbl>
    <w:p w14:paraId="AC57021F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1.4 References</w:t>
      </w:r>
    </w:p>
    <w:p w14:paraId="FF93D011">
      <w:pPr>
        <w:pStyle w:val="style48"/>
        <w:rPr/>
      </w:pPr>
      <w:r>
        <w:rPr>
          <w:b/>
        </w:rPr>
        <w:t xml:space="preserve">IEEE Std 830-1998: </w:t>
      </w:r>
      <w:r>
        <w:t>IEEE Recommended Practice for Software Requirements Specifications.</w:t>
      </w:r>
    </w:p>
    <w:p w14:paraId="8405CD08">
      <w:pPr>
        <w:pStyle w:val="style48"/>
        <w:rPr/>
      </w:pPr>
      <w:r>
        <w:rPr>
          <w:b/>
        </w:rPr>
        <w:t xml:space="preserve">Software Engineering (10th Edition): </w:t>
      </w:r>
      <w:r>
        <w:t>Ian Sommerville, Pearson Education.</w:t>
      </w:r>
    </w:p>
    <w:p w14:paraId="CA896570">
      <w:pPr>
        <w:pStyle w:val="style48"/>
        <w:rPr/>
      </w:pPr>
      <w:r>
        <w:t>Relevant References: Columbia University &amp; Kaggle Disease Symptom Prediction Dataset (4,920 records, 132 symptoms, 41 classes); Scikit-Learn: Machine Learning in Python (Pedregosa et al., JMLR); Streamlit BaseWeb Framework Architecture Manual.</w:t>
      </w:r>
    </w:p>
    <w:p w14:paraId="1575AF8B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1.5 Document Overview</w:t>
      </w:r>
    </w:p>
    <w:p w14:paraId="31A9B9DE">
      <w:pPr>
        <w:pStyle w:val="style0"/>
        <w:rPr/>
      </w:pPr>
      <w:r>
        <w:t>The remainder of this SRS is partitioned into structural sections: Section 2 outlines the product perspective, target user personas, operational context, and design constraints. Section 3 itemizes detailed functional requirements organized into logical software modules. Section 4 specifies external interfaces (UI, Hardware, Software, Network). Section 5 defines non-functional attributes (Performance, Reliability, Security). Finally, Section 6 provides standard academic modeling diagrams.</w:t>
      </w:r>
    </w:p>
    <w:p w14:paraId="2210EBC0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2. Overall Description</w:t>
      </w:r>
    </w:p>
    <w:p w14:paraId="C9DD0701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2.1 Product Perspective</w:t>
      </w:r>
    </w:p>
    <w:p w14:paraId="CFD49640">
      <w:pPr>
        <w:pStyle w:val="style0"/>
        <w:rPr/>
      </w:pPr>
      <w:r>
        <w:t>Health Predict AI is architected as an autonomous multi-tier machine learning application. It comprises a modern presentation layer (Streamlit reactive glassmorphic UI), an application/inference layer (Python runtime with Scikit-Learn engine), and a model/knowledge base tier (Joblib serialized binaries and clinical symptom-disease mapping matrices).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14:paraId="C99334F5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shd w:val="nil" w:color="auto" w:fill="f4f6f9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r>
              <w:t>+-----------------------------------------------------------------------------------------+</w:t>
              <w:br/>
              <w:t>|                       SYSTEM CONTEXT DIAGRAM (DFD LEVEL 0)                              |</w:t>
              <w:br/>
              <w:t>+-----------------------------------------------------------------------------------------+</w:t>
              <w:br/>
              <w:br/>
              <w:t xml:space="preserve">   [ Patient / User ]  </w:t>
              <w:br/>
              <w:t xml:space="preserve">           │ </w:t>
              <w:br/>
              <w:t xml:space="preserve">           │  1. Selects Symptoms / Triggers Scenario Preset</w:t>
              <w:br/>
              <w:t xml:space="preserve">           ▼ </w:t>
              <w:br/>
              <w:t xml:space="preserve">   +─────────────────────────────────────────────────────────────+</w:t>
              <w:br/>
              <w:t xml:space="preserve">   │                  HEALTH PREDICT AI SYSTEM                   │</w:t>
              <w:br/>
              <w:t xml:space="preserve">   │                                                             │</w:t>
              <w:br/>
              <w:t xml:space="preserve">   │   • Module 1: Dynamic Symptom Search &amp; Vectorization        │</w:t>
              <w:br/>
              <w:t xml:space="preserve">   │   • Module 2: Multinomial Naive Bayes Inference Engine      │</w:t>
              <w:br/>
              <w:t xml:space="preserve">   │   • Module 3: Biomarker Correlation &amp; Medical Protocol Gen  │</w:t>
              <w:br/>
              <w:t xml:space="preserve">   +─────────────────────────────────────────────────────────────+</w:t>
              <w:br/>
              <w:t xml:space="preserve">           │ </w:t>
              <w:br/>
              <w:t xml:space="preserve">           │  2. Renders Diagnostic Dossier, Severity, Precautions &amp; Differential Spectrum</w:t>
              <w:br/>
              <w:t xml:space="preserve">           ▼ </w:t>
              <w:br/>
              <w:t xml:space="preserve">   [ User Interface (Streamlit Glassmorphic View) ]</w:t>
            </w:r>
          </w:p>
        </w:tc>
      </w:tr>
    </w:tbl>
    <w:p w14:paraId="F0E18E86">
      <w:pPr>
        <w:pStyle w:val="style0"/>
        <w:spacing w:after="40"/>
        <w:rPr/>
      </w:pPr>
    </w:p>
    <w:p w14:paraId="547B00B7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2.2 User Classes and Characteristics</w:t>
      </w:r>
    </w:p>
    <w:p w14:paraId="26065A4B">
      <w:pPr>
        <w:pStyle w:val="style0"/>
        <w:rPr/>
      </w:pPr>
      <w:r>
        <w:t>The target software accommodates distinct user personas with varying access hierarchies: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14:paraId="A0C69001">
        <w:trPr>
          <w:jc w:val="center"/>
        </w:trPr>
        <w:tc>
          <w:tcPr>
            <w:tcW w:w="2160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FC668D21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User Role / Persona</w:t>
            </w:r>
          </w:p>
        </w:tc>
        <w:tc>
          <w:tcPr>
            <w:tcW w:w="3168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C5F83C34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Technical Proficiency</w:t>
            </w:r>
          </w:p>
        </w:tc>
        <w:tc>
          <w:tcPr>
            <w:tcW w:w="4032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4A5CE0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Core Responsibilities &amp; Rights</w:t>
            </w:r>
          </w:p>
        </w:tc>
      </w:tr>
      <w:tr w14:paraId="66B6F654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General Patient / Public User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Basic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Searches physical symptoms, selects quick test presets, views predicted disease dossier, reads clinical descriptions, and follows medical precaution protocols.</w:t>
            </w:r>
          </w:p>
        </w:tc>
      </w:tr>
      <w:tr w14:paraId="BD8A7959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Medical Practitioner / Triage Nurse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Intermediate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Reviews triggering biomarker correlations, inspects alternative differential diagnoses spectrum, and cross-references preliminary triage probability before clinical lab ordering.</w:t>
            </w:r>
          </w:p>
        </w:tc>
      </w:tr>
      <w:tr w14:paraId="C58ED0EB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Academic Supervisor / System Evaluator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High (AI / Software Engineering)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Audits training pipeline (`train.py`), inspects confusion matrix / classification report, validates IEEE 830 compliance, and verifies algorithm stability.</w:t>
            </w:r>
          </w:p>
        </w:tc>
      </w:tr>
    </w:tbl>
    <w:p w14:paraId="004A7BC2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2.3 Operating Environment</w:t>
      </w:r>
    </w:p>
    <w:p w14:paraId="7B418BE3">
      <w:pPr>
        <w:pStyle w:val="style0"/>
        <w:rPr/>
      </w:pPr>
      <w:r>
        <w:t>The application operates within the following software and hardware environments:</w:t>
      </w:r>
    </w:p>
    <w:p w14:paraId="63B51210">
      <w:pPr>
        <w:pStyle w:val="style48"/>
        <w:rPr/>
      </w:pPr>
      <w:r>
        <w:t>Client Requirements: Modern web browser (Google Chrome &gt;= v110, Mozilla Firefox &gt;= v108, Microsoft Edge, Apple Safari); responsive display down to 360x640 mobile viewports; JavaScript enabled for WebSocket communication.</w:t>
      </w:r>
    </w:p>
    <w:p w14:paraId="2ED82138">
      <w:pPr>
        <w:pStyle w:val="style48"/>
        <w:rPr/>
      </w:pPr>
      <w:r>
        <w:t>Server Runtime Environment: Python 3.10+ execution runtime; compatible across Windows 10/11, Ubuntu Linux 22.04 LTS, and macOS; Streamlit server listening on TCP Port 8501.</w:t>
      </w:r>
    </w:p>
    <w:p w14:paraId="8A6D0D08">
      <w:pPr>
        <w:pStyle w:val="style48"/>
        <w:rPr/>
      </w:pPr>
      <w:r>
        <w:t>Model Storage Tier: Local memory-cached serialized binary assets (`symptom_model.pkl`, `symptoms_list.pkl`, `disease_symptoms_map.pkl`) loaded with sub-millisecond overhead via `@st.cache_resource`.</w:t>
      </w:r>
    </w:p>
    <w:p w14:paraId="CB81EAF3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2.4 Design and Implementation Constraints</w:t>
      </w:r>
    </w:p>
    <w:p w14:paraId="EEB4559E">
      <w:pPr>
        <w:pStyle w:val="style48"/>
        <w:rPr/>
      </w:pPr>
      <w:r>
        <w:t>Academic Budget Constraint: Completely open-source software stack (Python, Scikit-Learn, Streamlit, Pandas, NumPy, Joblib) operable on commodity local hardware without cloud subscription costs.</w:t>
      </w:r>
    </w:p>
    <w:p w14:paraId="FD7E994F">
      <w:pPr>
        <w:pStyle w:val="style48"/>
        <w:rPr/>
      </w:pPr>
      <w:r>
        <w:t>Security Compliance &amp; Privacy: Zero persistent storage of sensitive patient identifying information (PII). All symptom inferences are executed in volatile memory during the active session.</w:t>
      </w:r>
    </w:p>
    <w:p w14:paraId="B5100553">
      <w:pPr>
        <w:pStyle w:val="style48"/>
        <w:rPr/>
      </w:pPr>
      <w:r>
        <w:t>Modularity Standards: Strict adherence to separation of concerns dividing automated dataset ingestion (`train.py`), model serialization (`model/*.pkl`), and reactive client rendering (`app.py`).</w:t>
      </w:r>
    </w:p>
    <w:p w14:paraId="64627022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2.5 Assumptions and Dependencies</w:t>
      </w:r>
    </w:p>
    <w:p w14:paraId="35F46617">
      <w:pPr>
        <w:pStyle w:val="style48"/>
        <w:rPr/>
      </w:pPr>
      <w:r>
        <w:t>Assumptions: The end-user possesses basic familiarity with web interfaces and selects at least one observed physical symptom from the indexed clinical database.</w:t>
      </w:r>
    </w:p>
    <w:p w14:paraId="55A22110">
      <w:pPr>
        <w:pStyle w:val="style48"/>
        <w:rPr/>
      </w:pPr>
      <w:r>
        <w:t>Dependencies: Availability of local Python runtime libraries: `pandas`, `numpy`, `scikit-learn`, `streamlit`, and `joblib`.</w:t>
      </w:r>
    </w:p>
    <w:p w14:paraId="689043C9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3. System Features and Functional Requirements</w:t>
      </w:r>
    </w:p>
    <w:p w14:paraId="A6A4D279">
      <w:pPr>
        <w:pStyle w:val="style0"/>
        <w:rPr/>
      </w:pPr>
      <w:r>
        <w:t>Requirements are categorized by functional subsystem modules with unique requirement identifiers (FR-x.x):</w:t>
      </w:r>
    </w:p>
    <w:p w14:paraId="CD39FA37">
      <w:pPr>
        <w:pStyle w:val="style0"/>
        <w:keepNext/>
        <w:spacing w:before="240" w:after="80"/>
        <w:rPr/>
      </w:pPr>
      <w:r>
        <w:t>3.1 Module 1: Symptom Ingestion &amp; Dynamic Search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14:paraId="FC7D8B21">
        <w:trPr>
          <w:jc w:val="center"/>
        </w:trPr>
        <w:tc>
          <w:tcPr>
            <w:tcW w:w="1440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9147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65801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6FE05C5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538A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5E54E7DB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FR-1.1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Searchable Multi-Select Autocomplete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Real-time type-ahead search across 132 validated clinical symptoms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  <w:tr w14:paraId="8C1A4C29">
        <w:tblPrEx/>
        <w:trPr>
          <w:jc w:val="center"/>
        </w:trPr>
        <w:tc>
          <w:tcPr>
            <w:tcW w:w="144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FR-1.2</w:t>
            </w:r>
          </w:p>
        </w:tc>
        <w:tc>
          <w:tcPr>
            <w:tcW w:w="3168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One-Click Clinical Preset Scenarios</w:t>
            </w:r>
          </w:p>
        </w:tc>
        <w:tc>
          <w:tcPr>
            <w:tcW w:w="360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Instant state injection for Cold Hands/Feet, Cardiac Distress, Malaria, and Acid Reflux</w:t>
            </w:r>
          </w:p>
        </w:tc>
        <w:tc>
          <w:tcPr>
            <w:tcW w:w="1152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Medium</w:t>
            </w:r>
          </w:p>
        </w:tc>
      </w:tr>
      <w:tr w14:paraId="54AEA80F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FR-1.3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Active Biomarker Tagging &amp; Live Counter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Renders dynamic royal blue badge chips and live counter of selected symptoms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</w:tbl>
    <w:p w14:paraId="0396B554">
      <w:pPr>
        <w:pStyle w:val="style0"/>
        <w:keepNext/>
        <w:spacing w:before="240" w:after="80"/>
        <w:rPr/>
      </w:pPr>
      <w:r>
        <w:t>3.2 Module 2: Machine Learning Inference &amp; Diagnostic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14:paraId="A408222B">
        <w:trPr>
          <w:jc w:val="center"/>
        </w:trPr>
        <w:tc>
          <w:tcPr>
            <w:tcW w:w="1440" w:type="dxa"/>
            <w:tcBorders/>
            <w:shd w:val="nil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9ED8DF8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tcBorders/>
            <w:shd w:val="nil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5848F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tcBorders/>
            <w:shd w:val="nil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A001FB28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tcBorders/>
            <w:shd w:val="nil" w:color="auto" w:fill="4b6b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DC26F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35697AE5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FR-2.1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Binary Vector Transformation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Maps selected symptoms into a 132-element sparse binary feature vector (0/1)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  <w:tr w14:paraId="F1F7C420">
        <w:tblPrEx/>
        <w:trPr>
          <w:jc w:val="center"/>
        </w:trPr>
        <w:tc>
          <w:tcPr>
            <w:tcW w:w="144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FR-2.2</w:t>
            </w:r>
          </w:p>
        </w:tc>
        <w:tc>
          <w:tcPr>
            <w:tcW w:w="3168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Multinomial Naive Bayes Probabilistic Inference</w:t>
            </w:r>
          </w:p>
        </w:tc>
        <w:tc>
          <w:tcPr>
            <w:tcW w:w="360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Calculates posterior probabilities P(Disease|Symptoms) across 41 disease classes</w:t>
            </w:r>
          </w:p>
        </w:tc>
        <w:tc>
          <w:tcPr>
            <w:tcW w:w="1152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  <w:tr w14:paraId="3F083C14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FR-2.3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Triggering Biomarker Correlation Verification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Cross-references input symptoms against condition profile to extract genuine matching signs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</w:tbl>
    <w:p w14:paraId="098DF4DA">
      <w:pPr>
        <w:pStyle w:val="style0"/>
        <w:keepNext/>
        <w:spacing w:before="240" w:after="80"/>
        <w:rPr/>
      </w:pPr>
      <w:r>
        <w:t>3.3 Module 3: Clinical Protocol Reporting, Precautions &amp; Differential Diagnosis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14:paraId="2FC97675">
        <w:trPr>
          <w:jc w:val="center"/>
        </w:trPr>
        <w:tc>
          <w:tcPr>
            <w:tcW w:w="1440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1757D6B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3168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E82ECB7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Feature Description</w:t>
            </w:r>
          </w:p>
        </w:tc>
        <w:tc>
          <w:tcPr>
            <w:tcW w:w="3600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638677A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Input / Validation Rule</w:t>
            </w:r>
          </w:p>
        </w:tc>
        <w:tc>
          <w:tcPr>
            <w:tcW w:w="1152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2F081B1">
            <w:pPr>
              <w:pStyle w:val="style0"/>
              <w:rPr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14:paraId="14BF9388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FR-3.1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Executive Diagnostic Dossier Card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Displays primary predicted disease, urgency rating badge, and confidence percentage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  <w:tr w14:paraId="41B5AEBC">
        <w:tblPrEx/>
        <w:trPr>
          <w:jc w:val="center"/>
        </w:trPr>
        <w:tc>
          <w:tcPr>
            <w:tcW w:w="144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FR-3.2</w:t>
            </w:r>
          </w:p>
        </w:tc>
        <w:tc>
          <w:tcPr>
            <w:tcW w:w="3168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Clinical Interpretation &amp; 4-Step Protocol</w:t>
            </w:r>
          </w:p>
        </w:tc>
        <w:tc>
          <w:tcPr>
            <w:tcW w:w="3600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Presents plain-English pathology explanation and structured doctor-recommended precautions</w:t>
            </w:r>
          </w:p>
        </w:tc>
        <w:tc>
          <w:tcPr>
            <w:tcW w:w="1152" w:type="dxa"/>
            <w:tcBorders/>
            <w:shd w:val="nil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High</w:t>
            </w:r>
          </w:p>
        </w:tc>
      </w:tr>
      <w:tr w14:paraId="890EB836">
        <w:tblPrEx/>
        <w:trPr>
          <w:jc w:val="center"/>
        </w:trPr>
        <w:tc>
          <w:tcPr>
            <w:tcW w:w="144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FR-3.3</w:t>
            </w:r>
          </w:p>
        </w:tc>
        <w:tc>
          <w:tcPr>
            <w:tcW w:w="3168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Differential Diagnoses Probability Spectrum</w:t>
            </w:r>
          </w:p>
        </w:tc>
        <w:tc>
          <w:tcPr>
            <w:tcW w:w="3600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Visualizes top 4 alternative matching conditions with animated progress bars</w:t>
            </w:r>
          </w:p>
        </w:tc>
        <w:tc>
          <w:tcPr>
            <w:tcW w:w="1152" w:type="dxa"/>
            <w:tcBorders/>
            <w:shd w:val="nil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Medium</w:t>
            </w:r>
          </w:p>
        </w:tc>
      </w:tr>
    </w:tbl>
    <w:p w14:paraId="C531E270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4. External Interface Requirements</w:t>
      </w:r>
    </w:p>
    <w:p w14:paraId="A2E39DA8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4.1 User Interfaces (UI)</w:t>
      </w:r>
    </w:p>
    <w:p w14:paraId="1B3B1134">
      <w:pPr>
        <w:pStyle w:val="style0"/>
        <w:rPr/>
      </w:pPr>
      <w:r>
        <w:t>The frontend interface implements modern glassmorphic design principles (deep midnight backdrop `#090e1a`, frosted glass container cards with `backdrop-filter: blur`, holographic gradient typography, and CSS keyframe animations). User interaction is facilitated by a BaseWeb multi-select input offering real-time substring filtering, one-click preset scenario buttons, and structured diagnostic cards without raw markdown rendering defects.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14:paraId="484EFFA0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shd w:val="nil" w:color="auto" w:fill="f4f6f9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r>
              <w:t>+-----------------------------------------------------------------------------------------+</w:t>
              <w:br/>
              <w:t>|                           USER INTERFACE LAYOUT &amp; WIREFRAME                             |</w:t>
              <w:br/>
              <w:t>+-----------------------------------------------------------------------------------------+</w:t>
              <w:br/>
              <w:t>|  [●] CLINICAL INTELLIGENCE ENGINE v2.4                                                  |</w:t>
              <w:br/>
              <w:t>|  # HEALTH PREDICT AI                                                                    |</w:t>
              <w:br/>
              <w:t>|  Multi-symptom pattern matching engine correlating 132 markers with 41 pathologies      |</w:t>
              <w:br/>
              <w:t>|                                                                                         |</w:t>
              <w:br/>
              <w:t>|  +--------------------+  +--------------------+  +--------------------+                 |</w:t>
              <w:br/>
              <w:t>|  |   41 PATHOLOGIES   |  |   132 BIOMARKERS   |  |   100% ACCURACY    |                 |</w:t>
              <w:br/>
              <w:t>|  +--------------------+  +--------------------+  +--------------------+                 |</w:t>
              <w:br/>
              <w:t>|                                                                                         |</w:t>
              <w:br/>
              <w:t>|  ⚡ QUICK TEST SCENARIOS:                                                               |</w:t>
              <w:br/>
              <w:t>|  [ Cold Hands &amp; Feet ]  [ Malaria / Fever ]  [ Cardiac Distress ]  [ Digestive / Acid ] |</w:t>
              <w:br/>
              <w:t>|                                                                                         |</w:t>
              <w:br/>
              <w:t>|  🔍 PATIENT SYMPTOMS:                                                                   |</w:t>
              <w:br/>
              <w:t>|  [ Type to search symptoms: e.g. cold hands, fever, joint pain, chest pain...         ] |</w:t>
              <w:br/>
              <w:t>|  Active: [✓ Cold Hands And Feets] [✓ Fatigue] [✓ Weight Gain]                           |</w:t>
              <w:br/>
              <w:t>|                                                                                         |</w:t>
              <w:br/>
              <w:t>|  [  ✨ EXECUTE CLINICAL DIAGNOSTIC ENGINE  ]                                            |</w:t>
              <w:br/>
              <w:t>|                                                                                         |</w:t>
              <w:br/>
              <w:t>|  +───────────────────────────────────────────────────────────────────────────────────+  |</w:t>
              <w:br/>
              <w:t>|  │ AI DIAGNOSTIC DOSSIER                             CONFIDENCE: 99.7%               │  |</w:t>
              <w:br/>
              <w:t>|  │ Hypothyroidism                                    Severity: 🟡 Moderate           │  |</w:t>
              <w:br/>
              <w:t>|  │ Triggering Biomarkers: [✓ Cold Hands And Feets] [✓ Fatigue] [✓ Weight Gain]       │  |</w:t>
              <w:br/>
              <w:t>|  │ 📖 Clinical Interpretation: An underactive thyroid gland slowing metabolism...    │  |</w:t>
              <w:br/>
              <w:t>|  │ 🛡️ Recommended Protocol: (1) Endocrinologist (2) Thyroid Profile (3) Diet (4) Med │  |</w:t>
              <w:br/>
              <w:t>|  │ 📊 Differential Diagnoses: Hypoglycemia (0.2%) | Chronic Fatigue (0.1%)           │  |</w:t>
              <w:br/>
              <w:t>|  +───────────────────────────────────────────────────────────────────────────────────+  |</w:t>
              <w:br/>
              <w:t>+-----------------------------------------------------------------------------------------+</w:t>
            </w:r>
          </w:p>
        </w:tc>
      </w:tr>
    </w:tbl>
    <w:p w14:paraId="2956E896">
      <w:pPr>
        <w:pStyle w:val="style0"/>
        <w:spacing w:after="40"/>
        <w:rPr/>
      </w:pPr>
    </w:p>
    <w:p w14:paraId="B71759F2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4.2 Hardware Interfaces</w:t>
      </w:r>
    </w:p>
    <w:p w14:paraId="D4A70FFF">
      <w:pPr>
        <w:pStyle w:val="style0"/>
        <w:rPr/>
      </w:pPr>
      <w:r>
        <w:t>Specification of physical interaction points:</w:t>
      </w:r>
    </w:p>
    <w:p w14:paraId="D403401E">
      <w:pPr>
        <w:pStyle w:val="style48"/>
        <w:rPr/>
      </w:pPr>
      <w:r>
        <w:t>Standard Deployment: Any commodity laptop, desktop, or mobile device with a display resolution &gt;= 720p, keyboard/touch input, and &gt;= 2 GB RAM.</w:t>
      </w:r>
    </w:p>
    <w:p w14:paraId="5F95D991">
      <w:pPr>
        <w:pStyle w:val="style48"/>
        <w:rPr/>
      </w:pPr>
      <w:r>
        <w:t>Embedded / IoT Variants: Not required for core clinical screening. Optionally adaptable to medical kiosk displays or Raspberry Pi 4 touch units.</w:t>
      </w:r>
    </w:p>
    <w:p w14:paraId="7E881398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4.3 Software Interfaces</w:t>
      </w:r>
    </w:p>
    <w:p w14:paraId="213CA793">
      <w:pPr>
        <w:pStyle w:val="style48"/>
        <w:rPr/>
      </w:pPr>
      <w:r>
        <w:t>Software Interfaces: Python 3.10+ runtime, Scikit-Learn ML engine, Streamlit Web Server, and Joblib object deserializer.</w:t>
      </w:r>
    </w:p>
    <w:p w14:paraId="BF285ADF">
      <w:pPr>
        <w:pStyle w:val="style48"/>
        <w:rPr/>
      </w:pPr>
      <w:r>
        <w:t>Model Serialization: Binary `.pkl` assets loaded directly into RAM; dataset ingestion from standardized `data/symptom_training.csv`.</w:t>
      </w:r>
    </w:p>
    <w:p w14:paraId="48540F70">
      <w:pPr>
        <w:pStyle w:val="style0"/>
        <w:keepNext/>
        <w:spacing w:before="240" w:after="80"/>
        <w:rPr/>
      </w:pPr>
      <w:r>
        <w:rPr>
          <w:rFonts w:ascii="Arial" w:hAnsi="Arial"/>
          <w:b/>
          <w:color w:val="4b6b94"/>
          <w:sz w:val="25"/>
        </w:rPr>
        <w:t>4.4 Communication Interfaces</w:t>
      </w:r>
    </w:p>
    <w:p w14:paraId="B3D8B882">
      <w:pPr>
        <w:pStyle w:val="style48"/>
        <w:rPr/>
      </w:pPr>
      <w:r>
        <w:t>Web Traffic Protocol: Local HTTP / WebSocket over Port 8501 for local execution; TLS 1.3 / HTTPS over Port 443 when deployed to university or cloud servers.</w:t>
      </w:r>
    </w:p>
    <w:p w14:paraId="8616FCF2">
      <w:pPr>
        <w:pStyle w:val="style48"/>
        <w:rPr/>
      </w:pPr>
      <w:r>
        <w:t>Data Serialization: Payloads exchanged using standard UTF-8 encoded application/json and NumPy binary array buffers.</w:t>
      </w:r>
    </w:p>
    <w:p w14:paraId="B785BBA8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5. Non-Functional Requirements (NFRs)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14:paraId="BEF1001E">
        <w:trPr>
          <w:jc w:val="center"/>
        </w:trPr>
        <w:tc>
          <w:tcPr>
            <w:tcW w:w="2160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5DC1F6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3168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7ECF8D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Target Metric / Standard</w:t>
            </w:r>
          </w:p>
        </w:tc>
        <w:tc>
          <w:tcPr>
            <w:tcW w:w="4032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8DD622C6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Verification &amp; Testing Method</w:t>
            </w:r>
          </w:p>
        </w:tc>
      </w:tr>
      <w:tr w14:paraId="C8553BD6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5.1 Performance &amp; Latency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Inference turnaround &lt; 50ms; total web page render &lt; 250ms under concurrent client requests.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Python execution benchmarking with `time.perf_counter()` and client DevTools audit.</w:t>
            </w:r>
          </w:p>
        </w:tc>
      </w:tr>
      <w:tr w14:paraId="94B083C9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5.2 Accuracy &amp; Consistency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100.0% validation benchmark accuracy on clinical symptom training matrix; zero sparse-zero leaf bias.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Stratified test-set evaluation using Scikit-Learn `accuracy_score` and classification matrix.</w:t>
            </w:r>
          </w:p>
        </w:tc>
      </w:tr>
      <w:tr w14:paraId="BDD655CF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5.3 Reliability &amp; Availability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System uptime &gt;= 99.5% during lab evaluations; graceful validation handling when 0 symptoms are selected.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Stress testing with boundary input vectors and synthetic empty-vector injection.</w:t>
            </w:r>
          </w:p>
        </w:tc>
      </w:tr>
      <w:tr w14:paraId="F006DD87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5.4 Usability &amp; Portability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Fully responsive across mobile (&gt;=360px), tablet, and desktop viewports; cross-browser verified.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Viewport testing on Chrome, Edge, Safari, and Firefox responsive mobile simulators.</w:t>
            </w:r>
          </w:p>
        </w:tc>
      </w:tr>
    </w:tbl>
    <w:p w14:paraId="1DE9D5E6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6. System Design and Analysis Models</w:t>
      </w:r>
    </w:p>
    <w:p w14:paraId="9A25F6B4">
      <w:pPr>
        <w:pStyle w:val="style0"/>
        <w:rPr/>
      </w:pPr>
      <w:r>
        <w:t>University evaluation rubrics require standard graphical analysis models illustrating the dynamic and static behavior of the application: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14:paraId="9BACB6C1">
        <w:trPr>
          <w:jc w:val="center"/>
        </w:trPr>
        <w:tc>
          <w:tcPr>
            <w:tcW w:w="2304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B2CA47D2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Diagram Type</w:t>
            </w:r>
          </w:p>
        </w:tc>
        <w:tc>
          <w:tcPr>
            <w:tcW w:w="3168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20E02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Objective &amp; Scope</w:t>
            </w:r>
          </w:p>
        </w:tc>
        <w:tc>
          <w:tcPr>
            <w:tcW w:w="3888" w:type="dxa"/>
            <w:tcBorders/>
            <w:shd w:val="nil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25A0A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Deliverable Format</w:t>
            </w:r>
          </w:p>
        </w:tc>
      </w:tr>
      <w:tr w14:paraId="D7D9013D">
        <w:tblPrEx/>
        <w:trPr>
          <w:jc w:val="center"/>
        </w:trPr>
        <w:tc>
          <w:tcPr>
            <w:tcW w:w="230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Use Case Diagram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Defines actor interactions: Patient (search, select, diagnose), Practitioner (differential analysis), Admin (retraining).</w:t>
            </w:r>
          </w:p>
        </w:tc>
        <w:tc>
          <w:tcPr>
            <w:tcW w:w="388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UML Use Case model with preconditions and postconditions.</w:t>
            </w:r>
          </w:p>
        </w:tc>
      </w:tr>
      <w:tr w14:paraId="94F1E689">
        <w:tblPrEx/>
        <w:trPr>
          <w:jc w:val="center"/>
        </w:trPr>
        <w:tc>
          <w:tcPr>
            <w:tcW w:w="2304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Data Flow Diagram (DFD)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Details Level 0 Context interaction and Level 1 modular data flow between Vectorizer, MNB Model, and Dossier Builder.</w:t>
            </w:r>
          </w:p>
        </w:tc>
        <w:tc>
          <w:tcPr>
            <w:tcW w:w="388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Standard Gane-Sarson / Yourdon notation DFD diagram.</w:t>
            </w:r>
          </w:p>
        </w:tc>
      </w:tr>
      <w:tr w14:paraId="53797EE3">
        <w:tblPrEx/>
        <w:trPr>
          <w:jc w:val="center"/>
        </w:trPr>
        <w:tc>
          <w:tcPr>
            <w:tcW w:w="230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Feature Matrix Architecture</w:t>
            </w:r>
          </w:p>
        </w:tc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Maps 132 binary symptom attributes to 41 target disease classifications with discrete feature indexing.</w:t>
            </w:r>
          </w:p>
        </w:tc>
        <w:tc>
          <w:tcPr>
            <w:tcW w:w="388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Tabular feature-label mapping schema.</w:t>
            </w:r>
          </w:p>
        </w:tc>
      </w:tr>
      <w:tr w14:paraId="DEB7784D">
        <w:tblPrEx/>
        <w:trPr>
          <w:jc w:val="center"/>
        </w:trPr>
        <w:tc>
          <w:tcPr>
            <w:tcW w:w="2304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Sequence Diagram</w:t>
            </w:r>
          </w:p>
        </w:tc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Chronological sequence: Client UI -&gt; State Store -&gt; Vectorizer -&gt; MNB Engine -&gt; Dictionary Matcher -&gt; UI Dossier View.</w:t>
            </w:r>
          </w:p>
        </w:tc>
        <w:tc>
          <w:tcPr>
            <w:tcW w:w="388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UML Sequence Diagram with async response triggers.</w:t>
            </w:r>
          </w:p>
        </w:tc>
      </w:tr>
    </w:tbl>
    <w:p w14:paraId="A05738C1">
      <w:pPr>
        <w:pStyle w:val="style0"/>
        <w:keepNext/>
        <w:spacing w:before="320" w:after="120"/>
        <w:rPr/>
      </w:pPr>
      <w:r>
        <w:rPr>
          <w:rFonts w:ascii="Arial" w:hAnsi="Arial"/>
          <w:b/>
          <w:color w:val="1b365d"/>
          <w:sz w:val="30"/>
        </w:rPr>
        <w:t>7. Academic Review &amp; Sign-Off</w:t>
      </w:r>
    </w:p>
    <w:p w14:paraId="F2118FBA">
      <w:pPr>
        <w:pStyle w:val="style0"/>
        <w:rPr/>
      </w:pPr>
      <w:r>
        <w:t>This Software Requirements Specification document has been submitted and reviewed by the academic supervisory panel: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14:paraId="9C9BBA40">
        <w:trPr>
          <w:jc w:val="center"/>
        </w:trPr>
        <w:tc>
          <w:tcPr>
            <w:tcW w:w="3024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D125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Project Coordinator / Guide</w:t>
            </w:r>
          </w:p>
        </w:tc>
        <w:tc>
          <w:tcPr>
            <w:tcW w:w="3168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CD146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Internal Examiner</w:t>
            </w:r>
          </w:p>
        </w:tc>
        <w:tc>
          <w:tcPr>
            <w:tcW w:w="3168" w:type="dxa"/>
            <w:tcBorders/>
            <w:shd w:val="nil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252ED">
            <w:pPr>
              <w:pStyle w:val="style0"/>
              <w:rPr/>
            </w:pPr>
            <w:r>
              <w:rPr>
                <w:b/>
                <w:color w:val="ffffff"/>
                <w:sz w:val="19"/>
              </w:rPr>
              <w:t>Head of Department (HOD)</w:t>
            </w:r>
          </w:p>
        </w:tc>
      </w:tr>
      <w:tr w14:paraId="FE15A2BA">
        <w:tblPrEx/>
        <w:trPr>
          <w:jc w:val="center"/>
        </w:trPr>
        <w:tc>
          <w:tcPr>
            <w:tcW w:w="3024" w:type="dxa"/>
            <w:tcBorders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D3C86DCF">
            <w:pPr>
              <w:pStyle w:val="style0"/>
              <w:jc w:val="center"/>
              <w:rPr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>Date: __________________</w:t>
            </w:r>
          </w:p>
        </w:tc>
        <w:tc>
          <w:tcPr>
            <w:tcW w:w="3168" w:type="dxa"/>
            <w:tcBorders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F8D0BE6E">
            <w:pPr>
              <w:pStyle w:val="style0"/>
              <w:jc w:val="center"/>
              <w:rPr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>Date: __________________</w:t>
            </w:r>
          </w:p>
        </w:tc>
        <w:tc>
          <w:tcPr>
            <w:tcW w:w="3168" w:type="dxa"/>
            <w:tcBorders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B5C8758D">
            <w:pPr>
              <w:pStyle w:val="style0"/>
              <w:jc w:val="center"/>
              <w:rPr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>Date: __________________</w:t>
            </w:r>
          </w:p>
        </w:tc>
      </w:tr>
    </w:tbl>
    <w:p w14:paraId="E5CEF2C4">
      <w:pPr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B30E386">
    <w:pPr>
      <w:pStyle w:val="style32"/>
      <w:jc w:val="center"/>
      <w:rPr/>
    </w:pPr>
    <w:r>
      <w:rPr>
        <w:rFonts w:ascii="Arial" w:hAnsi="Arial"/>
        <w:color w:val="78828c"/>
        <w:sz w:val="17"/>
      </w:rPr>
      <w:t>Page Reference - IEEE Std 830-1998 Academic Template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1064CC5">
    <w:pPr>
      <w:pStyle w:val="style31"/>
      <w:jc w:val="right"/>
      <w:rPr/>
    </w:pPr>
    <w:r>
      <w:rPr>
        <w:rFonts w:ascii="Arial" w:hAnsi="Arial"/>
        <w:color w:val="78828c"/>
        <w:sz w:val="17"/>
      </w:rPr>
      <w:t>Software Requirements Specification | B.Tech Project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80" w:lineRule="auto" w:line="276"/>
    </w:pPr>
    <w:rPr>
      <w:rFonts w:ascii="Arial" w:hAnsi="Arial"/>
      <w:color w:val="2b2d42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c66c393-3d3b-438a-aeb0-9a22a016f3e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1c6cf7e-6a08-4e6b-b467-1a78964ec28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a06e5f2-9c95-4d3c-ac41-e6b0d897c2f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da0699a-bf62-4645-b913-f3d6f456798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22f7757-d3a6-4c31-bfdb-fa79cf41299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0cea29c-f357-48ae-a7ff-2110c922ce1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89d28fb-c44c-4fe5-8197-0038c2ba58b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318f507-f360-46d3-b5ef-a086a017061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b6b9b8c-3960-4a4b-96f2-4256b9daf94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8d83a59-6d50-488e-a844-da829035032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3da4b19-d1e1-48dd-89fa-c5e17955617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c8e62e3-7ed1-4c73-b4e1-34e5ac46009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3ad7a35-bdaf-4f4c-aa0c-4543fc01999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9fe2b4f-ae1d-4cc8-a019-54c6dc27e92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1438</Words>
  <Pages>1</Pages>
  <Characters>9649</Characters>
  <Application>WPS Office</Application>
  <DocSecurity>0</DocSecurity>
  <Paragraphs>250</Paragraphs>
  <ScaleCrop>false</ScaleCrop>
  <LinksUpToDate>false</LinksUpToDate>
  <CharactersWithSpaces>10870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2026-09-30T03:41:08Z</dcterms:created>
  <dc:creator>python-docx</dc:creator>
  <dc:description>generated by python-docx</dc:description>
  <lastModifiedBy>SM-A736B</lastModifiedBy>
  <dcterms:modified xsi:type="dcterms:W3CDTF">2026-09-30T03:41:08Z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4982a83ec7144a10aa6e012031cd53c9_23</vt:lpwstr>
  </property>
</Properties>
</file>