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 DOCUMENT (PRD)</w:t>
      </w:r>
    </w:p>
    <w:p>
      <w:pPr>
        <w:pStyle w:val="Heading1"/>
      </w:pPr>
      <w:r>
        <w:t>Health Predict AI — Intelligent Multi-Symptom Diagnostic System</w:t>
      </w:r>
    </w:p>
    <w:p>
      <w:r>
        <w:rPr>
          <w:b/>
        </w:rPr>
        <w:t xml:space="preserve">Product Version: </w:t>
      </w:r>
      <w:r>
        <w:t>v2.4 (Production Baseline)</w:t>
        <w:br/>
      </w:r>
      <w:r>
        <w:rPr>
          <w:b/>
        </w:rPr>
        <w:t xml:space="preserve">Author &amp; Product Owner: </w:t>
      </w:r>
      <w:r>
        <w:t>Prateek Shukla (Roll No: 2400320100828)</w:t>
        <w:br/>
      </w:r>
      <w:r>
        <w:rPr>
          <w:b/>
        </w:rPr>
        <w:t xml:space="preserve">Degree &amp; Department: </w:t>
      </w:r>
      <w:r>
        <w:t>B.Tech in Computer Science &amp; Engineering</w:t>
        <w:br/>
      </w:r>
      <w:r>
        <w:rPr>
          <w:b/>
        </w:rPr>
        <w:t xml:space="preserve">Academic Year: </w:t>
      </w:r>
      <w:r>
        <w:t>2026 – 2027</w:t>
        <w:br/>
      </w:r>
      <w:r>
        <w:rPr>
          <w:b/>
        </w:rPr>
        <w:t xml:space="preserve">Status: </w:t>
      </w:r>
      <w:r>
        <w:t>Approved / Active Baseline</w:t>
      </w:r>
    </w:p>
    <w:p>
      <w:pPr>
        <w:pStyle w:val="Heading1"/>
      </w:pPr>
      <w:r>
        <w:t>1. Executive Summary &amp; Product Vision</w:t>
      </w:r>
    </w:p>
    <w:p>
      <w:r>
        <w:t>Health Predict AI is a lightweight, non-invasive, AI-assisted symptom triage application designed to bridge the gap between initial symptom onset and clinical medical consultation. By correlating 132 clinical biomarkers and physical sensations with 41 validated disease classifications, the application delivers real-time probabilistic diagnosis, emergency severity ratings, matched biomarker insights, and actionable medical precautions within &lt; 50 milliseconds.</w:t>
      </w:r>
    </w:p>
    <w:p>
      <w:r>
        <w:t>Product Vision: To provide every individual with immediate, accessible, and scientifically sound preliminary healthcare intelligence—demystifying personal health without the intimidation of complex laboratory numbers or ambiguous search-engine results.</w:t>
      </w:r>
    </w:p>
    <w:p>
      <w:pPr>
        <w:pStyle w:val="Heading1"/>
      </w:pPr>
      <w:r>
        <w:t>2. Problem Statement &amp; Solution</w:t>
      </w:r>
    </w:p>
    <w:p>
      <w:r>
        <w:t>1. The Google Self-Diagnosis Trap: Traditional search engines often surface worst-case outcomes for common symptoms, causing severe patient anxiety.</w:t>
        <w:br/>
        <w:t>2. The Numeric Metric Barrier: Most digital health apps demand lab values (mmHg, glucose, cholesterol, BMI) which users do not possess at home.</w:t>
        <w:br/>
        <w:t>3. Healthcare Congestion: Lack of early triage leads to clinic overcrowding for mild ailments and delayed care for acute conditions.</w:t>
      </w:r>
    </w:p>
    <w:p>
      <w:r>
        <w:t>The Solution: A pure symptom-driven, autocomplete-enabled diagnostic engine requiring zero numeric metrics, evaluating multi-symptom patterns with Multinomial Naive Bayes, explaining matched biomarkers, and providing actionable 4-step protocols.</w:t>
      </w:r>
    </w:p>
    <w:p>
      <w:pPr>
        <w:pStyle w:val="Heading1"/>
      </w:pPr>
      <w:r>
        <w:t>3. User Personas &amp; Core User Stories</w:t>
      </w:r>
    </w:p>
    <w:p>
      <w:r>
        <w:t>• Primary User (General Public): Seeks rapid, non-intimidating evaluation of everyday symptoms to understand urgency and precautions.</w:t>
        <w:br/>
        <w:t>• Secondary User (Triage Nurse / Community Health Worker): Screens high-throughput patient queues and explores differential diagnoses.</w:t>
        <w:br/>
        <w:t>• Academic Evaluator: Audits statistical consistency, confusion matrices, and software architecture.</w:t>
      </w:r>
    </w:p>
    <w:p>
      <w:pPr>
        <w:pStyle w:val="Heading1"/>
      </w:pPr>
      <w:r>
        <w:t>4. Feature Requirements &amp; MoSCoW Prioritization</w:t>
      </w:r>
    </w:p>
    <w:tbl>
      <w:tblPr>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Feature ID</w:t>
            </w:r>
          </w:p>
        </w:tc>
        <w:tc>
          <w:tcPr>
            <w:tcW w:type="dxa" w:w="2160"/>
          </w:tcPr>
          <w:p>
            <w:r>
              <w:t>Feature Name</w:t>
            </w:r>
          </w:p>
        </w:tc>
        <w:tc>
          <w:tcPr>
            <w:tcW w:type="dxa" w:w="2160"/>
          </w:tcPr>
          <w:p>
            <w:r>
              <w:t>Description &amp; Acceptance Criteria</w:t>
            </w:r>
          </w:p>
        </w:tc>
      </w:tr>
      <w:tr>
        <w:tc>
          <w:tcPr>
            <w:tcW w:type="dxa" w:w="2160"/>
          </w:tcPr>
          <w:p>
            <w:r>
              <w:t>Must-Have</w:t>
            </w:r>
          </w:p>
        </w:tc>
        <w:tc>
          <w:tcPr>
            <w:tcW w:type="dxa" w:w="2160"/>
          </w:tcPr>
          <w:p>
            <w:r>
              <w:t>FEAT-01</w:t>
            </w:r>
          </w:p>
        </w:tc>
        <w:tc>
          <w:tcPr>
            <w:tcW w:type="dxa" w:w="2160"/>
          </w:tcPr>
          <w:p>
            <w:r>
              <w:t>Multi-Select Autocomplete Search</w:t>
            </w:r>
          </w:p>
        </w:tc>
        <w:tc>
          <w:tcPr>
            <w:tcW w:type="dxa" w:w="2160"/>
          </w:tcPr>
          <w:p>
            <w:r>
              <w:t>Type-ahead filtering across all 132 indexed symptoms with multi-selection support.</w:t>
            </w:r>
          </w:p>
        </w:tc>
      </w:tr>
      <w:tr>
        <w:tc>
          <w:tcPr>
            <w:tcW w:type="dxa" w:w="2160"/>
          </w:tcPr>
          <w:p>
            <w:r>
              <w:t>Must-Have</w:t>
            </w:r>
          </w:p>
        </w:tc>
        <w:tc>
          <w:tcPr>
            <w:tcW w:type="dxa" w:w="2160"/>
          </w:tcPr>
          <w:p>
            <w:r>
              <w:t>FEAT-02</w:t>
            </w:r>
          </w:p>
        </w:tc>
        <w:tc>
          <w:tcPr>
            <w:tcW w:type="dxa" w:w="2160"/>
          </w:tcPr>
          <w:p>
            <w:r>
              <w:t>Multinomial Naive Bayes Engine</w:t>
            </w:r>
          </w:p>
        </w:tc>
        <w:tc>
          <w:tcPr>
            <w:tcW w:type="dxa" w:w="2160"/>
          </w:tcPr>
          <w:p>
            <w:r>
              <w:t>Probabilistic inference P(Disease|Symptoms) with Laplace smoothing to prevent sparse zero-vector bias.</w:t>
            </w:r>
          </w:p>
        </w:tc>
      </w:tr>
      <w:tr>
        <w:tc>
          <w:tcPr>
            <w:tcW w:type="dxa" w:w="2160"/>
          </w:tcPr>
          <w:p>
            <w:r>
              <w:t>Must-Have</w:t>
            </w:r>
          </w:p>
        </w:tc>
        <w:tc>
          <w:tcPr>
            <w:tcW w:type="dxa" w:w="2160"/>
          </w:tcPr>
          <w:p>
            <w:r>
              <w:t>FEAT-03</w:t>
            </w:r>
          </w:p>
        </w:tc>
        <w:tc>
          <w:tcPr>
            <w:tcW w:type="dxa" w:w="2160"/>
          </w:tcPr>
          <w:p>
            <w:r>
              <w:t>Triggering Biomarker Correlation</w:t>
            </w:r>
          </w:p>
        </w:tc>
        <w:tc>
          <w:tcPr>
            <w:tcW w:type="dxa" w:w="2160"/>
          </w:tcPr>
          <w:p>
            <w:r>
              <w:t>Extracts and displays patient symptoms directly matching condition profile.</w:t>
            </w:r>
          </w:p>
        </w:tc>
      </w:tr>
      <w:tr>
        <w:tc>
          <w:tcPr>
            <w:tcW w:type="dxa" w:w="2160"/>
          </w:tcPr>
          <w:p>
            <w:r>
              <w:t>Must-Have</w:t>
            </w:r>
          </w:p>
        </w:tc>
        <w:tc>
          <w:tcPr>
            <w:tcW w:type="dxa" w:w="2160"/>
          </w:tcPr>
          <w:p>
            <w:r>
              <w:t>FEAT-04</w:t>
            </w:r>
          </w:p>
        </w:tc>
        <w:tc>
          <w:tcPr>
            <w:tcW w:type="dxa" w:w="2160"/>
          </w:tcPr>
          <w:p>
            <w:r>
              <w:t>Clinical Protocols &amp; Precautions</w:t>
            </w:r>
          </w:p>
        </w:tc>
        <w:tc>
          <w:tcPr>
            <w:tcW w:type="dxa" w:w="2160"/>
          </w:tcPr>
          <w:p>
            <w:r>
              <w:t>Plain-English pathology description and 4 actionable medical precaution steps.</w:t>
            </w:r>
          </w:p>
        </w:tc>
      </w:tr>
      <w:tr>
        <w:tc>
          <w:tcPr>
            <w:tcW w:type="dxa" w:w="2160"/>
          </w:tcPr>
          <w:p>
            <w:r>
              <w:t>Should-Have</w:t>
            </w:r>
          </w:p>
        </w:tc>
        <w:tc>
          <w:tcPr>
            <w:tcW w:type="dxa" w:w="2160"/>
          </w:tcPr>
          <w:p>
            <w:r>
              <w:t>FEAT-05</w:t>
            </w:r>
          </w:p>
        </w:tc>
        <w:tc>
          <w:tcPr>
            <w:tcW w:type="dxa" w:w="2160"/>
          </w:tcPr>
          <w:p>
            <w:r>
              <w:t>One-Click Clinical Presets</w:t>
            </w:r>
          </w:p>
        </w:tc>
        <w:tc>
          <w:tcPr>
            <w:tcW w:type="dxa" w:w="2160"/>
          </w:tcPr>
          <w:p>
            <w:r>
              <w:t>Instant test scenarios (Cold Extremities, Cardiac Distress, Malaria, Acid Reflux).</w:t>
            </w:r>
          </w:p>
        </w:tc>
      </w:tr>
      <w:tr>
        <w:tc>
          <w:tcPr>
            <w:tcW w:type="dxa" w:w="2160"/>
          </w:tcPr>
          <w:p>
            <w:r>
              <w:t>Should-Have</w:t>
            </w:r>
          </w:p>
        </w:tc>
        <w:tc>
          <w:tcPr>
            <w:tcW w:type="dxa" w:w="2160"/>
          </w:tcPr>
          <w:p>
            <w:r>
              <w:t>FEAT-06</w:t>
            </w:r>
          </w:p>
        </w:tc>
        <w:tc>
          <w:tcPr>
            <w:tcW w:type="dxa" w:w="2160"/>
          </w:tcPr>
          <w:p>
            <w:r>
              <w:t>Differential Diagnoses Spectrum</w:t>
            </w:r>
          </w:p>
        </w:tc>
        <w:tc>
          <w:tcPr>
            <w:tcW w:type="dxa" w:w="2160"/>
          </w:tcPr>
          <w:p>
            <w:r>
              <w:t>Progress bars displaying probability spectrum for top alternative conditions.</w:t>
            </w:r>
          </w:p>
        </w:tc>
      </w:tr>
      <w:tr>
        <w:tc>
          <w:tcPr>
            <w:tcW w:type="dxa" w:w="2160"/>
          </w:tcPr>
          <w:p>
            <w:r>
              <w:t>Should-Have</w:t>
            </w:r>
          </w:p>
        </w:tc>
        <w:tc>
          <w:tcPr>
            <w:tcW w:type="dxa" w:w="2160"/>
          </w:tcPr>
          <w:p>
            <w:r>
              <w:t>FEAT-07</w:t>
            </w:r>
          </w:p>
        </w:tc>
        <w:tc>
          <w:tcPr>
            <w:tcW w:type="dxa" w:w="2160"/>
          </w:tcPr>
          <w:p>
            <w:r>
              <w:t>Glassmorphic Dark UI</w:t>
            </w:r>
          </w:p>
        </w:tc>
        <w:tc>
          <w:tcPr>
            <w:tcW w:type="dxa" w:w="2160"/>
          </w:tcPr>
          <w:p>
            <w:r>
              <w:t>Frosted glass container styling with CSS keyframe animations and pulsing status beacons.</w:t>
            </w:r>
          </w:p>
        </w:tc>
      </w:tr>
      <w:tr>
        <w:tc>
          <w:tcPr>
            <w:tcW w:type="dxa" w:w="2160"/>
          </w:tcPr>
          <w:p>
            <w:r>
              <w:t>Could-Have</w:t>
            </w:r>
          </w:p>
        </w:tc>
        <w:tc>
          <w:tcPr>
            <w:tcW w:type="dxa" w:w="2160"/>
          </w:tcPr>
          <w:p>
            <w:r>
              <w:t>FEAT-08</w:t>
            </w:r>
          </w:p>
        </w:tc>
        <w:tc>
          <w:tcPr>
            <w:tcW w:type="dxa" w:w="2160"/>
          </w:tcPr>
          <w:p>
            <w:r>
              <w:t>Multi-Language Localization</w:t>
            </w:r>
          </w:p>
        </w:tc>
        <w:tc>
          <w:tcPr>
            <w:tcW w:type="dxa" w:w="2160"/>
          </w:tcPr>
          <w:p>
            <w:r>
              <w:t>Regional language support for rural telemedicine kiosks.</w:t>
            </w:r>
          </w:p>
        </w:tc>
      </w:tr>
      <w:tr>
        <w:tc>
          <w:tcPr>
            <w:tcW w:type="dxa" w:w="2160"/>
          </w:tcPr>
          <w:p>
            <w:r>
              <w:t>Won't-Have</w:t>
            </w:r>
          </w:p>
        </w:tc>
        <w:tc>
          <w:tcPr>
            <w:tcW w:type="dxa" w:w="2160"/>
          </w:tcPr>
          <w:p>
            <w:r>
              <w:t>FEAT-09</w:t>
            </w:r>
          </w:p>
        </w:tc>
        <w:tc>
          <w:tcPr>
            <w:tcW w:type="dxa" w:w="2160"/>
          </w:tcPr>
          <w:p>
            <w:r>
              <w:t>Direct Drug Dispensation</w:t>
            </w:r>
          </w:p>
        </w:tc>
        <w:tc>
          <w:tcPr>
            <w:tcW w:type="dxa" w:w="2160"/>
          </w:tcPr>
          <w:p>
            <w:r>
              <w:t>Automated pharmacy purchasing (omitted for clinical ethics and medical safety compliance).</w:t>
            </w:r>
          </w:p>
        </w:tc>
      </w:tr>
    </w:tbl>
    <w:p>
      <w:pPr>
        <w:pStyle w:val="Heading1"/>
      </w:pPr>
      <w:r>
        <w:t>5. Performance KPIs &amp; North Star Metrics</w:t>
      </w:r>
    </w:p>
    <w:p>
      <w:r>
        <w:t>• Diagnostic Turnaround Time: &lt; 50 milliseconds</w:t>
        <w:br/>
        <w:t>• Validation Benchmark Accuracy: 100.0% on clinical symptom matrix</w:t>
        <w:br/>
        <w:t>• Symptom Coverage: 132 validated clinical biomarkers</w:t>
        <w:br/>
        <w:t>• Disease Classifications: 41 ICD-relevant pathologies</w:t>
        <w:br/>
        <w:t>• Zero Numeric Requirement: 100% pure symptom-driven interaction</w:t>
      </w:r>
    </w:p>
    <w:p>
      <w:pPr>
        <w:pStyle w:val="Heading1"/>
      </w:pPr>
      <w:r>
        <w:t>6. Ethical Safeguards &amp; Medical Disclaimer</w:t>
      </w:r>
    </w:p>
    <w:p>
      <w:r>
        <w:t>Statutory Notice: Health Predict AI is an educational, technological decision-support prototype. It does not constitute medical advice, a definitive clinical diagnosis, or a certified treatment plan. Users experiencing acute distress, chest pain, or breathing difficulty must contact emergency medical services (112 / 911) immediately.</w:t>
      </w:r>
    </w:p>
    <w:p>
      <w:pPr>
        <w:pStyle w:val="Heading1"/>
      </w:pPr>
      <w:r>
        <w:t>7. Approval Sign-Off</w:t>
      </w:r>
    </w:p>
    <w:p>
      <w:r>
        <w:t>Product Author: Prateek Shukla (Roll No: 2400320100828)</w:t>
        <w:br/>
        <w:t>Signature: ______________________ Date: 01-Oct-2026</w:t>
        <w:br/>
        <w:br/>
        <w:t>Project Supervisor / HOD:</w:t>
        <w:br/>
        <w:t>Signature: ______________________ Date: 01-Oct-2026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